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Ankara,</w:t>
      </w:r>
      <w:r>
        <w:t xml:space="preserve"> </w:t>
      </w:r>
      <w:r>
        <w:t xml:space="preserve">Turkey</w:t>
      </w:r>
    </w:p>
    <w:bookmarkStart w:id="27" w:name="X2e07e27f4b8ed1dd53a6eee96e5170ce8d91046"/>
    <w:p>
      <w:pPr>
        <w:pStyle w:val="Heading1"/>
      </w:pPr>
      <w:r>
        <w:t xml:space="preserve">Sales Performance Report: Education Administrator Role in Ankara, Turkey</w:t>
      </w:r>
    </w:p>
    <w:bookmarkStart w:id="20" w:name="executive-summary"/>
    <w:p>
      <w:pPr>
        <w:pStyle w:val="Heading2"/>
      </w:pPr>
      <w:r>
        <w:t xml:space="preserve">Executive Summary</w:t>
      </w:r>
    </w:p>
    <w:p>
      <w:pPr>
        <w:pStyle w:val="FirstParagraph"/>
      </w:pPr>
      <w:r>
        <w:t xml:space="preserve">This comprehensive Sales Report details the strategic performance of the Education Administrator position within the educational ecosystem of Ankara, Turkey. Covering Q3 2023 to Q1 2024, this document outlines key achievements, market dynamics, and growth opportunities specific to Turkey’s capital city. The role has been instrumental in driving enrollment expansion, stakeholder engagement, and service adoption across public and private institutions in Ankara. As Turkey’s education sector continues evolving under national reforms, this report underscores how the Education Administrator position directly contributes to sustainable "sales" of educational services through data-driven strategies tailored to Ankara's unique demographic and regulatory landscape.</w:t>
      </w:r>
    </w:p>
    <w:bookmarkEnd w:id="20"/>
    <w:bookmarkStart w:id="21" w:name="X1752a354abb14361dd34a64a4ed65edd61949f8"/>
    <w:p>
      <w:pPr>
        <w:pStyle w:val="Heading2"/>
      </w:pPr>
      <w:r>
        <w:t xml:space="preserve">Market Analysis: Education Landscape in Ankara, Turkey</w:t>
      </w:r>
    </w:p>
    <w:p>
      <w:pPr>
        <w:pStyle w:val="FirstParagraph"/>
      </w:pPr>
      <w:r>
        <w:t xml:space="preserve">Ankara, as Turkey’s political and administrative hub, hosts over 35% of the nation’s higher education institutions and 18% of primary/secondary schools. According to TÜİK (Turkish Statistical Institute), Ankara’s student population grew by 7.4% year-over-year in 2023, driven by urban migration and rising demand for quality education. This growth presents a critical market opportunity for Education Administrators to optimize "sales" within Turkey’s competitive educational sector. The Ministry of National Education (MEB) has recently prioritized digital transformation in schools—a trend the Ankara-based Education Administrator has leveraged to position our institution as a leader in EdTech solutions for Turkish schools.</w:t>
      </w:r>
    </w:p>
    <w:bookmarkEnd w:id="21"/>
    <w:bookmarkStart w:id="22" w:name="X9486360d6db0d30697d21207bc20a231e86ac94"/>
    <w:p>
      <w:pPr>
        <w:pStyle w:val="Heading2"/>
      </w:pPr>
      <w:r>
        <w:t xml:space="preserve">Key Sales Metrics: Education Administrator Performance</w:t>
      </w:r>
    </w:p>
    <w:p>
      <w:pPr>
        <w:pStyle w:val="FirstParagraph"/>
      </w:pPr>
      <w:r>
        <w:t xml:space="preserve">The core responsibility of the Education Administrator role centers on converting institutional partnerships into measurable outcomes. In Ankara, this manifests through:</w:t>
      </w:r>
    </w:p>
    <w:p>
      <w:pPr>
        <w:numPr>
          <w:ilvl w:val="0"/>
          <w:numId w:val="1001"/>
        </w:numPr>
        <w:pStyle w:val="Compact"/>
      </w:pPr>
      <w:r>
        <w:rPr>
          <w:bCs/>
          <w:b/>
        </w:rPr>
        <w:t xml:space="preserve">Enrollment Growth:</w:t>
      </w:r>
      <w:r>
        <w:t xml:space="preserve"> </w:t>
      </w:r>
      <w:r>
        <w:t xml:space="preserve">42% increase in K-12 student placements at partner institutions (from 1,850 to 2,640 students) within nine months.</w:t>
      </w:r>
    </w:p>
    <w:p>
      <w:pPr>
        <w:numPr>
          <w:ilvl w:val="0"/>
          <w:numId w:val="1001"/>
        </w:numPr>
        <w:pStyle w:val="Compact"/>
      </w:pPr>
      <w:r>
        <w:rPr>
          <w:bCs/>
          <w:b/>
        </w:rPr>
        <w:t xml:space="preserve">Client Acquisition:</w:t>
      </w:r>
      <w:r>
        <w:t xml:space="preserve"> </w:t>
      </w:r>
      <w:r>
        <w:t xml:space="preserve">Secured partnerships with 14 new schools across Ankara’s districts (including Çankaya, Altındağ, and Söğütözü), representing a 32% market share gain in the capital region.</w:t>
      </w:r>
    </w:p>
    <w:p>
      <w:pPr>
        <w:numPr>
          <w:ilvl w:val="0"/>
          <w:numId w:val="1001"/>
        </w:numPr>
        <w:pStyle w:val="Compact"/>
      </w:pPr>
      <w:r>
        <w:rPr>
          <w:bCs/>
          <w:b/>
        </w:rPr>
        <w:t xml:space="preserve">Solution Adoption:</w:t>
      </w:r>
      <w:r>
        <w:t xml:space="preserve"> </w:t>
      </w:r>
      <w:r>
        <w:t xml:space="preserve">Achieved 89% uptake of digital learning platforms among partner schools—surpassing Turkey’s national average of 67% (MEB, Q4 2023).</w:t>
      </w:r>
    </w:p>
    <w:p>
      <w:pPr>
        <w:pStyle w:val="FirstParagraph"/>
      </w:pPr>
      <w:r>
        <w:t xml:space="preserve">These metrics directly align with the Education Administrator’s mandate to drive "sales" through educational service delivery. For instance, a partnership with Ankara International School led to a 30% rise in STEM program enrollment, demonstrating how localized sales strategies yield tangible results in Turkey’s education market.</w:t>
      </w:r>
    </w:p>
    <w:bookmarkEnd w:id="22"/>
    <w:bookmarkStart w:id="23" w:name="strategic-sales-initiatives-in-ankara"/>
    <w:p>
      <w:pPr>
        <w:pStyle w:val="Heading2"/>
      </w:pPr>
      <w:r>
        <w:t xml:space="preserve">Strategic Sales Initiatives in Ankara</w:t>
      </w:r>
    </w:p>
    <w:p>
      <w:pPr>
        <w:pStyle w:val="FirstParagraph"/>
      </w:pPr>
      <w:r>
        <w:t xml:space="preserve">The Education Administrator deployed tailored initiatives specific to Ankara’s educational needs:</w:t>
      </w:r>
    </w:p>
    <w:p>
      <w:pPr>
        <w:numPr>
          <w:ilvl w:val="0"/>
          <w:numId w:val="1002"/>
        </w:numPr>
        <w:pStyle w:val="Compact"/>
      </w:pPr>
      <w:r>
        <w:rPr>
          <w:bCs/>
          <w:b/>
        </w:rPr>
        <w:t xml:space="preserve">Cultural Alignment:</w:t>
      </w:r>
      <w:r>
        <w:t xml:space="preserve"> </w:t>
      </w:r>
      <w:r>
        <w:t xml:space="preserve">Adapted marketing materials into Turkish and included MEB curriculum alignment certifications—addressing a key local concern. This approach increased school sign-ups by 27% compared to generic campaigns.</w:t>
      </w:r>
    </w:p>
    <w:p>
      <w:pPr>
        <w:numPr>
          <w:ilvl w:val="0"/>
          <w:numId w:val="1002"/>
        </w:numPr>
        <w:pStyle w:val="Compact"/>
      </w:pPr>
      <w:r>
        <w:rPr>
          <w:bCs/>
          <w:b/>
        </w:rPr>
        <w:t xml:space="preserve">Stakeholder Engagement:</w:t>
      </w:r>
      <w:r>
        <w:t xml:space="preserve"> </w:t>
      </w:r>
      <w:r>
        <w:t xml:space="preserve">Hosted monthly workshops with Ankara’s MEB district directors, positioning our services as compliance-ready solutions. This resulted in three municipal education contracts worth $158,000.</w:t>
      </w:r>
    </w:p>
    <w:p>
      <w:pPr>
        <w:numPr>
          <w:ilvl w:val="0"/>
          <w:numId w:val="1002"/>
        </w:numPr>
        <w:pStyle w:val="Compact"/>
      </w:pPr>
      <w:r>
        <w:rPr>
          <w:bCs/>
          <w:b/>
        </w:rPr>
        <w:t xml:space="preserve">Digital Outreach:</w:t>
      </w:r>
      <w:r>
        <w:t xml:space="preserve"> </w:t>
      </w:r>
      <w:r>
        <w:t xml:space="preserve">Launched a localized WhatsApp campaign for parents in Ankara’s suburbs (e.g., Yenimahalle), achieving a 45% higher response rate than email-based methods due to cultural preference for mobile communication in Turkey.</w:t>
      </w:r>
    </w:p>
    <w:p>
      <w:pPr>
        <w:pStyle w:val="FirstParagraph"/>
      </w:pPr>
      <w:r>
        <w:t xml:space="preserve">These actions exemplify how the Education Administrator role transcends traditional "sales" by embedding solutions into Ankara’s educational fabric while adhering to Turkish regulatory standards.</w:t>
      </w:r>
    </w:p>
    <w:bookmarkEnd w:id="23"/>
    <w:bookmarkStart w:id="24" w:name="X02aac18cdcbfe3c2b5b4695894e1a7e613eee3a"/>
    <w:p>
      <w:pPr>
        <w:pStyle w:val="Heading2"/>
      </w:pPr>
      <w:r>
        <w:t xml:space="preserve">Challenges and Solutions in the Ankara Market</w:t>
      </w:r>
    </w:p>
    <w:p>
      <w:pPr>
        <w:pStyle w:val="FirstParagraph"/>
      </w:pPr>
      <w:r>
        <w:t xml:space="preserve">Navigating Turkey’s education sector requires addressing unique challenges. In Ankara, two critical barriers emerged:</w:t>
      </w:r>
    </w:p>
    <w:p>
      <w:pPr>
        <w:numPr>
          <w:ilvl w:val="0"/>
          <w:numId w:val="1003"/>
        </w:numPr>
        <w:pStyle w:val="Compact"/>
      </w:pPr>
      <w:r>
        <w:rPr>
          <w:iCs/>
          <w:i/>
        </w:rPr>
        <w:t xml:space="preserve">Bureaucratic Delays:</w:t>
      </w:r>
      <w:r>
        <w:t xml:space="preserve"> </w:t>
      </w:r>
      <w:r>
        <w:t xml:space="preserve">MEB approval processes averaged 90 days. The Education Administrator resolved this by establishing a dedicated liaison with the Ankara Regional Education Directorate, reducing wait times to 45 days.</w:t>
      </w:r>
    </w:p>
    <w:p>
      <w:pPr>
        <w:numPr>
          <w:ilvl w:val="0"/>
          <w:numId w:val="1003"/>
        </w:numPr>
        <w:pStyle w:val="Compact"/>
      </w:pPr>
      <w:r>
        <w:rPr>
          <w:iCs/>
          <w:i/>
        </w:rPr>
        <w:t xml:space="preserve">Cultural Resistance to EdTech:</w:t>
      </w:r>
      <w:r>
        <w:t xml:space="preserve"> </w:t>
      </w:r>
      <w:r>
        <w:t xml:space="preserve">Some schools initially rejected digital tools due to teacher training gaps. The solution involved co-designing workshops with Ankara-based educators—increasing platform adoption by 60% in six months.</w:t>
      </w:r>
    </w:p>
    <w:p>
      <w:pPr>
        <w:pStyle w:val="FirstParagraph"/>
      </w:pPr>
      <w:r>
        <w:t xml:space="preserve">These interventions highlight the Education Administrator’s dual role as both a sales strategist and an education facilitator, ensuring solutions resonate within Turkey’s context.</w:t>
      </w:r>
    </w:p>
    <w:bookmarkEnd w:id="24"/>
    <w:bookmarkStart w:id="25" w:name="future-growth-roadmap-for-ankara"/>
    <w:p>
      <w:pPr>
        <w:pStyle w:val="Heading2"/>
      </w:pPr>
      <w:r>
        <w:t xml:space="preserve">Future Growth Roadmap for Ankara</w:t>
      </w:r>
    </w:p>
    <w:p>
      <w:pPr>
        <w:pStyle w:val="FirstParagraph"/>
      </w:pPr>
      <w:r>
        <w:t xml:space="preserve">Based on Q1 2024 performance, the Education Administrator will pursue three priority initiatives in Turkey:</w:t>
      </w:r>
    </w:p>
    <w:p>
      <w:pPr>
        <w:numPr>
          <w:ilvl w:val="0"/>
          <w:numId w:val="1004"/>
        </w:numPr>
        <w:pStyle w:val="Compact"/>
      </w:pPr>
      <w:r>
        <w:rPr>
          <w:bCs/>
          <w:b/>
        </w:rPr>
        <w:t xml:space="preserve">Ankara-Specific Product Line:</w:t>
      </w:r>
      <w:r>
        <w:t xml:space="preserve"> </w:t>
      </w:r>
      <w:r>
        <w:t xml:space="preserve">Launching a "MEB-Compliant Curriculum Suite" for Ankara schools by Q3 2024, targeting $350K in sales through pilot programs at 10+ institutions.</w:t>
      </w:r>
    </w:p>
    <w:p>
      <w:pPr>
        <w:numPr>
          <w:ilvl w:val="0"/>
          <w:numId w:val="1004"/>
        </w:numPr>
        <w:pStyle w:val="Compact"/>
      </w:pPr>
      <w:r>
        <w:rPr>
          <w:bCs/>
          <w:b/>
        </w:rPr>
        <w:t xml:space="preserve">University Partnerships:</w:t>
      </w:r>
      <w:r>
        <w:t xml:space="preserve"> </w:t>
      </w:r>
      <w:r>
        <w:t xml:space="preserve">Expanding into Ankara’s higher education sector (e.g., Hacettepe University, Bilkent University) to offer faculty development "sales" packages—projected to generate $200K in annual revenue.</w:t>
      </w:r>
    </w:p>
    <w:p>
      <w:pPr>
        <w:numPr>
          <w:ilvl w:val="0"/>
          <w:numId w:val="1004"/>
        </w:numPr>
        <w:pStyle w:val="Compact"/>
      </w:pPr>
      <w:r>
        <w:rPr>
          <w:bCs/>
          <w:b/>
        </w:rPr>
        <w:t xml:space="preserve">Sustainability Focus:</w:t>
      </w:r>
      <w:r>
        <w:t xml:space="preserve"> </w:t>
      </w:r>
      <w:r>
        <w:t xml:space="preserve">Integrating Turkey’s 2035 Green Education Plan into service offerings. The Education Administrator will position eco-friendly school solutions as a premium sales differentiator, aligning with Ankara’s environmental initiatives.</w:t>
      </w:r>
    </w:p>
    <w:p>
      <w:pPr>
        <w:pStyle w:val="FirstParagraph"/>
      </w:pPr>
      <w:r>
        <w:t xml:space="preserve">This roadmap ensures the Education Administrator role remains at the forefront of Turkey’s education market while delivering measurable "sales" outcomes in Ankara.</w:t>
      </w:r>
    </w:p>
    <w:bookmarkEnd w:id="25"/>
    <w:bookmarkStart w:id="26" w:name="conclusion"/>
    <w:p>
      <w:pPr>
        <w:pStyle w:val="Heading2"/>
      </w:pPr>
      <w:r>
        <w:t xml:space="preserve">Conclusion</w:t>
      </w:r>
    </w:p>
    <w:p>
      <w:pPr>
        <w:pStyle w:val="FirstParagraph"/>
      </w:pPr>
      <w:r>
        <w:t xml:space="preserve">The Sales Report confirms that the Education Administrator position is indispensable to our growth strategy in Turkey, particularly within Ankara’s dynamic educational environment. By transforming traditional sales methodologies into culturally attuned, compliance-focused engagement frameworks, this role has driven a 35% year-over-year revenue increase in the capital city. As Turkey advances its education reform agenda under Vision 2023+, the Education Administrator will remain pivotal in scaling "sales" through institutional partnerships that align with national goals. For Ankara—Turkey’s education capital—the future is built on data, relationships, and solutions that prioritize student success over transactional metrics.</w:t>
      </w:r>
    </w:p>
    <w:p>
      <w:pPr>
        <w:pStyle w:val="BodyText"/>
      </w:pPr>
      <w:r>
        <w:rPr>
          <w:bCs/>
          <w:b/>
        </w:rPr>
        <w:t xml:space="preserve">Prepared for:</w:t>
      </w:r>
      <w:r>
        <w:t xml:space="preserve"> </w:t>
      </w:r>
      <w:r>
        <w:t xml:space="preserve">National Education Leadership Council, Ministry of National Education (Turkey)</w:t>
      </w:r>
      <w:r>
        <w:br/>
      </w:r>
      <w:r>
        <w:rPr>
          <w:bCs/>
          <w:b/>
        </w:rPr>
        <w:t xml:space="preserve">Report Period:</w:t>
      </w:r>
      <w:r>
        <w:t xml:space="preserve"> </w:t>
      </w:r>
      <w:r>
        <w:t xml:space="preserve">July 2023 – March 2024</w:t>
      </w:r>
      <w:r>
        <w:br/>
      </w:r>
      <w:r>
        <w:rPr>
          <w:bCs/>
          <w:b/>
        </w:rPr>
        <w:t xml:space="preserve">Prepared by:</w:t>
      </w:r>
      <w:r>
        <w:t xml:space="preserve"> </w:t>
      </w:r>
      <w:r>
        <w:t xml:space="preserve">Sales Strategy Department, Ankara Regional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Ankara, Turkey</dc:title>
  <dc:creator/>
  <dc:language>en</dc:language>
  <cp:keywords/>
  <dcterms:created xsi:type="dcterms:W3CDTF">2026-07-23T17:06:43Z</dcterms:created>
  <dcterms:modified xsi:type="dcterms:W3CDTF">2026-07-23T17:06:43Z</dcterms:modified>
</cp:coreProperties>
</file>

<file path=docProps/custom.xml><?xml version="1.0" encoding="utf-8"?>
<Properties xmlns="http://schemas.openxmlformats.org/officeDocument/2006/custom-properties" xmlns:vt="http://schemas.openxmlformats.org/officeDocument/2006/docPropsVTypes"/>
</file>