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7" w:name="X6498c6217b9cf4b63fffd44e0360bcd737dfa8f"/>
    <w:p>
      <w:pPr>
        <w:pStyle w:val="Heading1"/>
      </w:pPr>
      <w:r>
        <w:t xml:space="preserve">Sales Report: Strategic Performance Analysis for Education Administrator Solutions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EdTech Division</w:t>
      </w:r>
      <w:r>
        <w:br/>
      </w:r>
      <w:r>
        <w:rPr>
          <w:bCs/>
          <w:b/>
        </w:rPr>
        <w:t xml:space="preserve">Region:</w:t>
      </w:r>
      <w:r>
        <w:t xml:space="preserve"> </w:t>
      </w:r>
      <w:r>
        <w:t xml:space="preserve">Istanbul, Turkey</w:t>
      </w:r>
    </w:p>
    <w:bookmarkStart w:id="20" w:name="i.-executive-summary"/>
    <w:p>
      <w:pPr>
        <w:pStyle w:val="Heading2"/>
      </w:pPr>
      <w:r>
        <w:t xml:space="preserve">I. Executive Summary</w:t>
      </w:r>
    </w:p>
    <w:p>
      <w:pPr>
        <w:pStyle w:val="FirstParagraph"/>
      </w:pPr>
      <w:r>
        <w:t xml:space="preserve">This Sales Report details the performance of our educational technology solutions targeting Education Administrators across Istanbul, Turkey. The quarter (Q3 2023) marked a significant milestone in our regional strategy, with a 18% year-over-year increase in contracts secured directly with Education Administrators managing schools and district-level institutions. Istanbul remains the critical growth engine for our Turkey operations, representing 65% of total sales volume within the country. This report underscores how tailored solutions for Education Administrators are driving market penetration in this strategically vital city.</w:t>
      </w:r>
    </w:p>
    <w:bookmarkEnd w:id="20"/>
    <w:bookmarkStart w:id="21" w:name="X1ddf4d3f53622e9078ee7166e2bf11f4079390b"/>
    <w:p>
      <w:pPr>
        <w:pStyle w:val="Heading2"/>
      </w:pPr>
      <w:r>
        <w:t xml:space="preserve">II. Market Context: Education Administrator Needs in Istanbul, Turkey</w:t>
      </w:r>
    </w:p>
    <w:p>
      <w:pPr>
        <w:pStyle w:val="FirstParagraph"/>
      </w:pPr>
      <w:r>
        <w:t xml:space="preserve">Istanbul's education landscape is unique and complex, serving over 15 million residents across more than 6,000 schools (public and private) and 15+ universities. The Turkish Ministry of National Education (MEB) has intensified digital transformation mandates, placing immense pressure on Education Administrators to adopt integrated solutions for student management, curriculum compliance, and data-driven decision-making. Our Sales Report reveals that Education Administrators in Istanbul are prioritizing platforms that reduce administrative burdens by 30%+ while ensuring alignment with MEB's new "Digital Teaching Framework." Failure to address these specific needs directly impacts our ability to win contracts from this key buyer persona.</w:t>
      </w:r>
    </w:p>
    <w:bookmarkEnd w:id="21"/>
    <w:bookmarkStart w:id="22" w:name="X651d7e53ff188993097a57dbe7898dae7deebf5"/>
    <w:p>
      <w:pPr>
        <w:pStyle w:val="Heading2"/>
      </w:pPr>
      <w:r>
        <w:t xml:space="preserve">III. Q3 2023 Sales Performance Highlights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Total Contracts Signed (Education Administrators)</w:t>
      </w:r>
    </w:p>
    <w:p>
      <w:pPr>
        <w:pStyle w:val="BodyText"/>
      </w:pPr>
      <w:r>
        <w:t xml:space="preserve">47</w:t>
      </w:r>
    </w:p>
    <w:p>
      <w:pPr>
        <w:pStyle w:val="BodyText"/>
      </w:pPr>
      <w:r>
        <w:t xml:space="preserve">39</w:t>
      </w:r>
    </w:p>
    <w:p>
      <w:pPr>
        <w:pStyle w:val="BodyText"/>
      </w:pPr>
      <w:r>
        <w:t xml:space="preserve">+20.5%</w:t>
      </w:r>
    </w:p>
    <w:p>
      <w:pPr>
        <w:pStyle w:val="BodyText"/>
      </w:pPr>
      <w:r>
        <w:t xml:space="preserve">Total Revenue Generated</w:t>
      </w:r>
    </w:p>
    <w:p>
      <w:pPr>
        <w:pStyle w:val="BodyText"/>
      </w:pPr>
      <w:r>
        <w:t xml:space="preserve">$1,850,000</w:t>
      </w:r>
    </w:p>
    <w:p>
      <w:pPr>
        <w:pStyle w:val="BodyText"/>
      </w:pPr>
      <w:r>
        <w:t xml:space="preserve">$1,568,200</w:t>
      </w:r>
    </w:p>
    <w:p>
      <w:pPr>
        <w:pStyle w:val="BodyText"/>
      </w:pPr>
      <w:r>
        <w:t xml:space="preserve">Average Deal Size (EDU Admin)</w:t>
      </w:r>
    </w:p>
    <w:p>
      <w:pPr>
        <w:pStyle w:val="BodyText"/>
      </w:pPr>
      <w:r>
        <w:t xml:space="preserve">$39,362</w:t>
      </w:r>
    </w:p>
    <w:p>
      <w:pPr>
        <w:pStyle w:val="BodyText"/>
      </w:pPr>
      <w:r>
        <w:t xml:space="preserve">Win Rate with Target Accounts</w:t>
      </w:r>
    </w:p>
    <w:p>
      <w:pPr>
        <w:pStyle w:val="BodyText"/>
      </w:pPr>
      <w:r>
        <w:t xml:space="preserve">58%</w:t>
      </w:r>
    </w:p>
    <w:p>
      <w:pPr>
        <w:pStyle w:val="BodyText"/>
      </w:pPr>
      <w:r>
        <w:t xml:space="preserve">Key drivers of success included our localized "Istanbul School Suite" package, specifically designed for Education Administrators managing high-enrollment urban institutions. This solution integrates Turkish language support, MEB compliance modules, and real-time parent communication features – directly addressing pain points identified in our Q2 stakeholder surveys across Istanbul schools.</w:t>
      </w:r>
    </w:p>
    <w:bookmarkEnd w:id="22"/>
    <w:bookmarkStart w:id="23" w:name="Xd4ce4368fb44de4f0f4447b443142181c7b40f4"/>
    <w:p>
      <w:pPr>
        <w:pStyle w:val="Heading2"/>
      </w:pPr>
      <w:r>
        <w:t xml:space="preserve">IV. Deep Dive: Why Education Administrator Focus Works in Turkey Istanbul</w:t>
      </w:r>
    </w:p>
    <w:p>
      <w:pPr>
        <w:pStyle w:val="FirstParagraph"/>
      </w:pPr>
      <w:r>
        <w:t xml:space="preserve">The sales strategy centered on the Education Administrator as the pivotal decision-maker has proven exceptionally effective. Unlike many markets where teachers or IT staff drive purchases, in Turkey's education ecosystem, the School Director or District Educational Manager (the primary "Education Administrator" role) holds final budget authority for technology solutions. Our Sales Report confirms that 89% of all signed contracts with Istanbul schools originated from direct engagement with this persona.</w:t>
      </w:r>
    </w:p>
    <w:p>
      <w:pPr>
        <w:pStyle w:val="BodyText"/>
      </w:pPr>
      <w:r>
        <w:t xml:space="preserve">Cultural nuance is critical. In Istanbul's competitive education market, Education Administrators prioritize solutions offering immediate operational benefits (e.g., streamlining attendance reporting or exam scheduling) over long-term strategic visions. Our sales team adapted by training all account managers on MEB’s latest administrative guidelines and emphasizing ROI within 6 months – a key selling point resonating with busy Istanbul-based Education Administrators.</w:t>
      </w:r>
    </w:p>
    <w:bookmarkEnd w:id="23"/>
    <w:bookmarkStart w:id="24" w:name="Xd63e140ad93906db84564c5fc0b2fef709e0f35"/>
    <w:p>
      <w:pPr>
        <w:pStyle w:val="Heading2"/>
      </w:pPr>
      <w:r>
        <w:t xml:space="preserve">V. Competitive Landscape &amp; Challenges in Turkey Istanbul</w:t>
      </w:r>
    </w:p>
    <w:p>
      <w:pPr>
        <w:pStyle w:val="FirstParagraph"/>
      </w:pPr>
      <w:r>
        <w:t xml:space="preserve">The competitive environment for Education Administrator solutions in Istanbul is intense, with local vendors (e.g., EBA Platform, EduTech Turkey) aggressively targeting the same buyer. Our Sales Report identifies two critical challenges:</w:t>
      </w:r>
    </w:p>
    <w:p>
      <w:pPr>
        <w:numPr>
          <w:ilvl w:val="0"/>
          <w:numId w:val="1001"/>
        </w:numPr>
        <w:pStyle w:val="Compact"/>
      </w:pPr>
      <w:r>
        <w:rPr>
          <w:bCs/>
          <w:b/>
        </w:rPr>
        <w:t xml:space="preserve">Cultural Alignment:</w:t>
      </w:r>
      <w:r>
        <w:t xml:space="preserve"> </w:t>
      </w:r>
      <w:r>
        <w:t xml:space="preserve">Early missteps occurred when our global product messaging failed to reflect Turkish educational priorities. We overcame this by co-developing features with MEB-aligned Education Administrators in Istanbul during pilot phases.</w:t>
      </w:r>
    </w:p>
    <w:p>
      <w:pPr>
        <w:numPr>
          <w:ilvl w:val="0"/>
          <w:numId w:val="1001"/>
        </w:numPr>
        <w:pStyle w:val="Compact"/>
      </w:pPr>
      <w:r>
        <w:rPr>
          <w:bCs/>
          <w:b/>
        </w:rPr>
        <w:t xml:space="preserve">Budget Cycles:</w:t>
      </w:r>
      <w:r>
        <w:t xml:space="preserve"> </w:t>
      </w:r>
      <w:r>
        <w:t xml:space="preserve">Municipal education budgets are finalized in Q4, making Q3 the critical sales window for Istanbul district-level contracts. Our team now deploys dedicated "Q3 Closing Sprints" targeting Education Administrators before budget freezes.</w:t>
      </w:r>
    </w:p>
    <w:bookmarkEnd w:id="24"/>
    <w:bookmarkStart w:id="25" w:name="X6ae4b06b05ba3d50e6900987c6b113714f01730"/>
    <w:p>
      <w:pPr>
        <w:pStyle w:val="Heading2"/>
      </w:pPr>
      <w:r>
        <w:t xml:space="preserve">VI. Strategic Recommendations for Q4 &amp; Beyond</w:t>
      </w:r>
    </w:p>
    <w:p>
      <w:pPr>
        <w:pStyle w:val="FirstParagraph"/>
      </w:pPr>
      <w:r>
        <w:t xml:space="preserve">To capitalize on Istanbul's potential, we recommend:</w:t>
      </w:r>
    </w:p>
    <w:p>
      <w:pPr>
        <w:numPr>
          <w:ilvl w:val="0"/>
          <w:numId w:val="1002"/>
        </w:numPr>
        <w:pStyle w:val="Compact"/>
      </w:pPr>
      <w:r>
        <w:rPr>
          <w:bCs/>
          <w:b/>
        </w:rPr>
        <w:t xml:space="preserve">Expand "Education Administrator" Certification Program:</w:t>
      </w:r>
      <w:r>
        <w:t xml:space="preserve"> </w:t>
      </w:r>
      <w:r>
        <w:t xml:space="preserve">Partner with Istanbul University’s Education Management Faculty to create a certified training program for school leaders, embedding our solution into professional development – directly addressing the Education Administrator's need for credibility.</w:t>
      </w:r>
    </w:p>
    <w:p>
      <w:pPr>
        <w:numPr>
          <w:ilvl w:val="0"/>
          <w:numId w:val="1002"/>
        </w:numPr>
        <w:pStyle w:val="Compact"/>
      </w:pPr>
      <w:r>
        <w:rPr>
          <w:bCs/>
          <w:b/>
        </w:rPr>
        <w:t xml:space="preserve">Leverage Istanbul-Specific Success Stories:</w:t>
      </w:r>
      <w:r>
        <w:t xml:space="preserve"> </w:t>
      </w:r>
      <w:r>
        <w:t xml:space="preserve">Develop case studies featuring successful implementations at iconic Istanbul institutions (e.g., Fatih Sultan Mehmet High School, Galatasaray Koleji) to demonstrate localized value to new Education Administrators.</w:t>
      </w:r>
    </w:p>
    <w:p>
      <w:pPr>
        <w:numPr>
          <w:ilvl w:val="0"/>
          <w:numId w:val="1002"/>
        </w:numPr>
        <w:pStyle w:val="Compact"/>
      </w:pPr>
      <w:r>
        <w:rPr>
          <w:bCs/>
          <w:b/>
        </w:rPr>
        <w:t xml:space="preserve">Enhance MEB Compliance Portal:</w:t>
      </w:r>
      <w:r>
        <w:t xml:space="preserve"> </w:t>
      </w:r>
      <w:r>
        <w:t xml:space="preserve">Invest in a Turkey-specific module ensuring real-time updates on MEB policy changes, a non-negotiable feature for Education Administrators managing Istanbul’s diverse schools.</w:t>
      </w:r>
    </w:p>
    <w:bookmarkEnd w:id="25"/>
    <w:bookmarkStart w:id="26" w:name="vii.-conclusion"/>
    <w:p>
      <w:pPr>
        <w:pStyle w:val="Heading2"/>
      </w:pPr>
      <w:r>
        <w:t xml:space="preserve">VII. Conclusion</w:t>
      </w:r>
    </w:p>
    <w:p>
      <w:pPr>
        <w:pStyle w:val="FirstParagraph"/>
      </w:pPr>
      <w:r>
        <w:t xml:space="preserve">This Sales Report unequivocally demonstrates that focusing our go-to-market strategy on the Education Administrator persona is the most effective path to growth in Turkey Istanbul. The city's scale, regulatory environment, and digital transformation urgency create a perfect storm for solutions designed with this specific role in mind. As we look ahead to 2024, we project Istanbul will contribute 75% of Turkey's total education technology sales – making the Education Administrator our most valuable customer segment.</w:t>
      </w:r>
    </w:p>
    <w:p>
      <w:pPr>
        <w:pStyle w:val="BodyText"/>
      </w:pPr>
      <w:r>
        <w:t xml:space="preserve">For sustainable success in Turkey Istanbul, all future initiatives must be framed through the lens of the Education Administrator’s daily challenges. Our Sales Report confirms that when solutions are built *for* these administrators and *in* their context (Istanbul’s vibrant educational ecosystem), market leadership follows organically. The next quarter’s target is 60+ contracts with Istanbul-based Education Administrators, representing a 28% growth trajectory.</w:t>
      </w:r>
    </w:p>
    <w:p>
      <w:pPr>
        <w:pStyle w:val="BodyText"/>
      </w:pPr>
      <w:r>
        <w:rPr>
          <w:bCs/>
          <w:b/>
        </w:rPr>
        <w:t xml:space="preserve">Prepared By:</w:t>
      </w:r>
      <w:r>
        <w:t xml:space="preserve"> </w:t>
      </w:r>
      <w:r>
        <w:t xml:space="preserve">Regional Sales Strategy Team, Turkey Division</w:t>
      </w:r>
      <w:r>
        <w:br/>
      </w:r>
      <w:r>
        <w:rPr>
          <w:bCs/>
          <w:b/>
        </w:rPr>
        <w:t xml:space="preserve">Contact:</w:t>
      </w:r>
      <w:r>
        <w:t xml:space="preserve"> </w:t>
      </w:r>
      <w:r>
        <w:t xml:space="preserve">sales.turkey@edtechglobal.com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Turkey Istanbul</dc:title>
  <dc:creator/>
  <dc:language>en</dc:language>
  <cp:keywords/>
  <dcterms:created xsi:type="dcterms:W3CDTF">2025-12-10T16:38:42Z</dcterms:created>
  <dcterms:modified xsi:type="dcterms:W3CDTF">2025-12-10T16:38:42Z</dcterms:modified>
</cp:coreProperties>
</file>

<file path=docProps/custom.xml><?xml version="1.0" encoding="utf-8"?>
<Properties xmlns="http://schemas.openxmlformats.org/officeDocument/2006/custom-properties" xmlns:vt="http://schemas.openxmlformats.org/officeDocument/2006/docPropsVTypes"/>
</file>