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2024</w:t>
      </w:r>
    </w:p>
    <w:bookmarkStart w:id="27" w:name="Xb3dde2651b8f0b4c18a77274810e925468e4d56"/>
    <w:p>
      <w:pPr>
        <w:pStyle w:val="Heading1"/>
      </w:pPr>
      <w:r>
        <w:t xml:space="preserve">Abu Dhabi Education Administrator Sales Performance Report: Driving Educational Excellence in the United Arab Emirates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Abu Dhabi Education Council (ADEC) Leadership &amp; Strategic Partners</w:t>
      </w:r>
      <w:r>
        <w:br/>
      </w:r>
      <w:r>
        <w:rPr>
          <w:bCs/>
          <w:b/>
        </w:rPr>
        <w:t xml:space="preserve">Report Period:</w:t>
      </w:r>
      <w:r>
        <w:t xml:space="preserve"> </w:t>
      </w:r>
      <w:r>
        <w:t xml:space="preserve">July 1 - September 30, 2024</w:t>
      </w:r>
    </w:p>
    <w:bookmarkStart w:id="20" w:name="i.-executive-summary"/>
    <w:p>
      <w:pPr>
        <w:pStyle w:val="Heading2"/>
      </w:pPr>
      <w:r>
        <w:t xml:space="preserve">I. Executive Summary</w:t>
      </w:r>
    </w:p>
    <w:p>
      <w:pPr>
        <w:pStyle w:val="FirstParagraph"/>
      </w:pPr>
      <w:r>
        <w:t xml:space="preserve">This report details the strategic performance of the Education Administrator role within the Abu Dhabi education ecosystem during Q3 2024, focusing on stakeholder engagement, program adoption metrics, and alignment with UAE national education priorities. The Education Administrator functions as a pivotal relationship and growth driver – not through conventional sales tactics, but by facilitating educational excellence through strategic partnership development. This report demonstrates how proactive relationship management directly contributes to Abu Dhabi's vision for world-class education delivery under the United Arab Emirates' broader strategic framework.</w:t>
      </w:r>
    </w:p>
    <w:bookmarkEnd w:id="20"/>
    <w:bookmarkStart w:id="21" w:name="Xcb10ced2c701ecc6a4a528e8d6bcca8b59b1180"/>
    <w:p>
      <w:pPr>
        <w:pStyle w:val="Heading2"/>
      </w:pPr>
      <w:r>
        <w:t xml:space="preserve">II. Role Significance: Education Administrator as Strategic Growth Catalyst</w:t>
      </w:r>
    </w:p>
    <w:p>
      <w:pPr>
        <w:pStyle w:val="FirstParagraph"/>
      </w:pPr>
      <w:r>
        <w:t xml:space="preserve">In the dynamic educational landscape of Abu Dhabi, the Education Administrator transcends traditional operational duties. This role is fundamentally a 'sales' position focused on selling the value proposition of Abu Dhabi's education system to key stakeholders: parents seeking premium international curricula, government entities like ADEC and Tawteen, and global educational service providers. Success is measured by program uptake rates, stakeholder satisfaction scores (exceeding 85% Q3), and alignment with UAE Vision 2030's focus on human capital development. Unlike commercial sales, this role builds sustainable educational partnerships that enhance Abu Dhabi's reputation as a premier destination for quality learning within the United Arab Emirates.</w:t>
      </w:r>
    </w:p>
    <w:bookmarkEnd w:id="21"/>
    <w:bookmarkStart w:id="22" w:name="X28177fbe458922b8c6dcecd27c5ba00afbf3c13"/>
    <w:p>
      <w:pPr>
        <w:pStyle w:val="Heading2"/>
      </w:pPr>
      <w:r>
        <w:t xml:space="preserve">III. Key Performance Indicators (KPIs) - Q3 2024</w:t>
      </w:r>
    </w:p>
    <w:p>
      <w:pPr>
        <w:pStyle w:val="FirstParagraph"/>
      </w:pPr>
      <w:r>
        <w:t xml:space="preserve">The following metrics reflect the Education Administrator's success in driving educational growth across Abu Dhabi:</w:t>
      </w:r>
    </w:p>
    <w:p>
      <w:pPr>
        <w:numPr>
          <w:ilvl w:val="0"/>
          <w:numId w:val="1001"/>
        </w:numPr>
        <w:pStyle w:val="Compact"/>
      </w:pPr>
      <w:r>
        <w:rPr>
          <w:bCs/>
          <w:b/>
        </w:rPr>
        <w:t xml:space="preserve">Program Adoption Growth:</w:t>
      </w:r>
      <w:r>
        <w:t xml:space="preserve"> </w:t>
      </w:r>
      <w:r>
        <w:t xml:space="preserve">32% increase in signed agreements with high-demand international curriculum providers (IB, Cambridge) for new school openings across Abu Dhabi regions, directly supporting ADEC's target of expanding quality options by 25% by 2026.</w:t>
      </w:r>
    </w:p>
    <w:p>
      <w:pPr>
        <w:numPr>
          <w:ilvl w:val="0"/>
          <w:numId w:val="1001"/>
        </w:numPr>
        <w:pStyle w:val="Compact"/>
      </w:pPr>
      <w:r>
        <w:rPr>
          <w:bCs/>
          <w:b/>
        </w:rPr>
        <w:t xml:space="preserve">Parent Engagement &amp; Satisfaction:</w:t>
      </w:r>
      <w:r>
        <w:t xml:space="preserve"> </w:t>
      </w:r>
      <w:r>
        <w:t xml:space="preserve">Achieved a 91.3% satisfaction rate in parent surveys regarding school transition processes and curriculum alignment (exceeding the Abu Dhabi target of 85%), directly linked to proactive administrator communication strategies.</w:t>
      </w:r>
    </w:p>
    <w:p>
      <w:pPr>
        <w:numPr>
          <w:ilvl w:val="0"/>
          <w:numId w:val="1001"/>
        </w:numPr>
        <w:pStyle w:val="Compact"/>
      </w:pPr>
      <w:r>
        <w:rPr>
          <w:bCs/>
          <w:b/>
        </w:rPr>
        <w:t xml:space="preserve">Strategic Partnership Development:</w:t>
      </w:r>
      <w:r>
        <w:t xml:space="preserve"> </w:t>
      </w:r>
      <w:r>
        <w:t xml:space="preserve">Secured 7 new collaborative initiatives with UAE-based educational technology firms and Emirati cultural institutions, enhancing the local curriculum's integration with national values (e.g., "UAE National Identity" modules).</w:t>
      </w:r>
    </w:p>
    <w:bookmarkEnd w:id="22"/>
    <w:bookmarkStart w:id="23" w:name="Xac986b376672a07dc0ec3b66cca2abfc3e6b4e3"/>
    <w:p>
      <w:pPr>
        <w:pStyle w:val="Heading2"/>
      </w:pPr>
      <w:r>
        <w:t xml:space="preserve">IV. Abu Dhabi Context: Aligning with Local Priorities</w:t>
      </w:r>
    </w:p>
    <w:p>
      <w:pPr>
        <w:pStyle w:val="FirstParagraph"/>
      </w:pPr>
      <w:r>
        <w:t xml:space="preserve">The success of Education Administrators is deeply rooted in understanding and leveraging Abu Dhabi's unique educational ecosystem:</w:t>
      </w:r>
    </w:p>
    <w:p>
      <w:pPr>
        <w:numPr>
          <w:ilvl w:val="0"/>
          <w:numId w:val="1002"/>
        </w:numPr>
        <w:pStyle w:val="Compact"/>
      </w:pPr>
      <w:r>
        <w:rPr>
          <w:bCs/>
          <w:b/>
        </w:rPr>
        <w:t xml:space="preserve">ADEC Strategic Alignment:</w:t>
      </w:r>
      <w:r>
        <w:t xml:space="preserve"> </w:t>
      </w:r>
      <w:r>
        <w:t xml:space="preserve">All initiatives directly support ADEC's 'Strategic Plan 2023-2030,' particularly the focus on 'Excellence in Education' and 'Emiratiization of the Workforce.' Administrators consistently reference these frameworks in stakeholder discussions.</w:t>
      </w:r>
    </w:p>
    <w:p>
      <w:pPr>
        <w:numPr>
          <w:ilvl w:val="0"/>
          <w:numId w:val="1002"/>
        </w:numPr>
        <w:pStyle w:val="Compact"/>
      </w:pPr>
      <w:r>
        <w:rPr>
          <w:bCs/>
          <w:b/>
        </w:rPr>
        <w:t xml:space="preserve">Cultural &amp; Regulatory Nuance:</w:t>
      </w:r>
      <w:r>
        <w:t xml:space="preserve"> </w:t>
      </w:r>
      <w:r>
        <w:t xml:space="preserve">Administrators excel at navigating UAE regulations (e.g., MOE approval processes) while respecting Emirati cultural protocols during parent meetings and school partnerships. This cultural intelligence is a key differentiator in Abu Dhabi's competitive market.</w:t>
      </w:r>
    </w:p>
    <w:p>
      <w:pPr>
        <w:numPr>
          <w:ilvl w:val="0"/>
          <w:numId w:val="1002"/>
        </w:numPr>
        <w:pStyle w:val="Compact"/>
      </w:pPr>
      <w:r>
        <w:rPr>
          <w:bCs/>
          <w:b/>
        </w:rPr>
        <w:t xml:space="preserve">Market Demand Focus:</w:t>
      </w:r>
      <w:r>
        <w:t xml:space="preserve"> </w:t>
      </w:r>
      <w:r>
        <w:t xml:space="preserve">Data-driven targeting identified a 35% surge in demand for STEM-focused international curricula among expatriate families in Al Ain and Yas Island. Administrators responded with tailored partnership pitches, resulting in 3 new STEM facilities approved for Abu Dhabi schools.</w:t>
      </w:r>
    </w:p>
    <w:bookmarkEnd w:id="23"/>
    <w:bookmarkStart w:id="24" w:name="v.-strategic-initiatives-sales-impact"/>
    <w:p>
      <w:pPr>
        <w:pStyle w:val="Heading2"/>
      </w:pPr>
      <w:r>
        <w:t xml:space="preserve">V. Strategic Initiatives &amp; Sales Impact</w:t>
      </w:r>
    </w:p>
    <w:p>
      <w:pPr>
        <w:pStyle w:val="FirstParagraph"/>
      </w:pPr>
      <w:r>
        <w:t xml:space="preserve">The Education Administrator's 'sales' strategy revolves around value demonstration and trust-building:</w:t>
      </w:r>
    </w:p>
    <w:p>
      <w:pPr>
        <w:numPr>
          <w:ilvl w:val="0"/>
          <w:numId w:val="1003"/>
        </w:numPr>
        <w:pStyle w:val="Compact"/>
      </w:pPr>
      <w:r>
        <w:rPr>
          <w:bCs/>
          <w:b/>
        </w:rPr>
        <w:t xml:space="preserve">Value-Based Proposals:</w:t>
      </w:r>
      <w:r>
        <w:t xml:space="preserve"> </w:t>
      </w:r>
      <w:r>
        <w:t xml:space="preserve">Moving beyond price, administrators present case studies demonstrating how specific programs (e.g., digital literacy integration) improve student outcomes at Abu Dhabi schools, citing data from ADEC's 'National School Performance Dashboard.'</w:t>
      </w:r>
    </w:p>
    <w:p>
      <w:pPr>
        <w:numPr>
          <w:ilvl w:val="0"/>
          <w:numId w:val="1003"/>
        </w:numPr>
        <w:pStyle w:val="Compact"/>
      </w:pPr>
      <w:r>
        <w:rPr>
          <w:bCs/>
          <w:b/>
        </w:rPr>
        <w:t xml:space="preserve">Stakeholder Co-Creation:</w:t>
      </w:r>
      <w:r>
        <w:t xml:space="preserve"> </w:t>
      </w:r>
      <w:r>
        <w:t xml:space="preserve">Administrators involve parent committees and school leadership in program design. This collaborative approach resulted in a 27% faster approval rate for new curriculum initiatives at Abu Dhabi partner schools compared to previous years.</w:t>
      </w:r>
    </w:p>
    <w:p>
      <w:pPr>
        <w:numPr>
          <w:ilvl w:val="0"/>
          <w:numId w:val="1003"/>
        </w:numPr>
        <w:pStyle w:val="Compact"/>
      </w:pPr>
      <w:r>
        <w:rPr>
          <w:bCs/>
          <w:b/>
        </w:rPr>
        <w:t xml:space="preserve">UAE Vision 2030 Integration:</w:t>
      </w:r>
      <w:r>
        <w:t xml:space="preserve"> </w:t>
      </w:r>
      <w:r>
        <w:t xml:space="preserve">Every partnership proposal explicitly links to national goals, such as the 'National Strategy for Education Development,' making it a compelling business case for government partners and investors in Abu Dhabi's education sector.</w:t>
      </w:r>
    </w:p>
    <w:bookmarkEnd w:id="24"/>
    <w:bookmarkStart w:id="25" w:name="Xb35d9a2409de55a23612db1d25fa769563dfa52"/>
    <w:p>
      <w:pPr>
        <w:pStyle w:val="Heading2"/>
      </w:pPr>
      <w:r>
        <w:t xml:space="preserve">VI. Challenges &amp; Adaptation in the Abu Dhabi Market</w:t>
      </w:r>
    </w:p>
    <w:p>
      <w:pPr>
        <w:pStyle w:val="FirstParagraph"/>
      </w:pPr>
      <w:r>
        <w:t xml:space="preserve">The complex nature of Abu Dhabi's market presented challenges requiring strategic adaptation:</w:t>
      </w:r>
    </w:p>
    <w:p>
      <w:pPr>
        <w:numPr>
          <w:ilvl w:val="0"/>
          <w:numId w:val="1004"/>
        </w:numPr>
        <w:pStyle w:val="Compact"/>
      </w:pPr>
      <w:r>
        <w:rPr>
          <w:bCs/>
          <w:b/>
        </w:rPr>
        <w:t xml:space="preserve">Regulatory Complexity:</w:t>
      </w:r>
      <w:r>
        <w:t xml:space="preserve"> </w:t>
      </w:r>
      <w:r>
        <w:t xml:space="preserve">Navigating multi-agency approvals (ADEC, MoHRE, local municipality) required Education Administrators to develop deep regulatory expertise. A dedicated 'Compliance Navigator' protocol was implemented, reducing onboarding time by 40%.</w:t>
      </w:r>
    </w:p>
    <w:p>
      <w:pPr>
        <w:numPr>
          <w:ilvl w:val="0"/>
          <w:numId w:val="1004"/>
        </w:numPr>
        <w:pStyle w:val="Compact"/>
      </w:pPr>
      <w:r>
        <w:rPr>
          <w:bCs/>
          <w:b/>
        </w:rPr>
        <w:t xml:space="preserve">High Expectations:</w:t>
      </w:r>
      <w:r>
        <w:t xml:space="preserve"> </w:t>
      </w:r>
      <w:r>
        <w:t xml:space="preserve">Abu Dhabi parents demand exceptional transparency and results. Administrators responded by implementing bi-weekly digital dashboards for school progress, a feature now requested in 92% of new partnerships.</w:t>
      </w:r>
    </w:p>
    <w:p>
      <w:pPr>
        <w:numPr>
          <w:ilvl w:val="0"/>
          <w:numId w:val="1004"/>
        </w:numPr>
        <w:pStyle w:val="Compact"/>
      </w:pPr>
      <w:r>
        <w:rPr>
          <w:bCs/>
          <w:b/>
        </w:rPr>
        <w:t xml:space="preserve">Competition:</w:t>
      </w:r>
      <w:r>
        <w:t xml:space="preserve"> </w:t>
      </w:r>
      <w:r>
        <w:t xml:space="preserve">Intense competition from Dubai's education market required emphasizing Abu Dhabi's unique advantages: lower operational costs for schools, stronger Emirati cultural integration, and ADEC’s focused regulatory support. This positioned Abu Dhabi as the preferred location for quality-focused international schools.</w:t>
      </w:r>
    </w:p>
    <w:bookmarkEnd w:id="25"/>
    <w:bookmarkStart w:id="26" w:name="vii.-conclusion-forward-strategy"/>
    <w:p>
      <w:pPr>
        <w:pStyle w:val="Heading2"/>
      </w:pPr>
      <w:r>
        <w:t xml:space="preserve">VII. Conclusion &amp; Forward Strategy</w:t>
      </w:r>
    </w:p>
    <w:p>
      <w:pPr>
        <w:pStyle w:val="FirstParagraph"/>
      </w:pPr>
      <w:r>
        <w:t xml:space="preserve">The Education Administrator role in Abu Dhabi is demonstrably successful in driving sustainable growth within the United Arab Emirates' education sector through relationship-based strategic engagement. The Q3 2024 results confirm that this role is not merely administrative but a critical engine for expanding educational excellence, directly supporting Abu Dhabi's position as a global education hub and fulfilling UAE national ambitions.</w:t>
      </w:r>
    </w:p>
    <w:p>
      <w:pPr>
        <w:pStyle w:val="BodyText"/>
      </w:pPr>
      <w:r>
        <w:t xml:space="preserve">Going forward, the focus will intensify on three strategic pillars:</w:t>
      </w:r>
    </w:p>
    <w:p>
      <w:pPr>
        <w:numPr>
          <w:ilvl w:val="0"/>
          <w:numId w:val="1005"/>
        </w:numPr>
        <w:pStyle w:val="Compact"/>
      </w:pPr>
      <w:r>
        <w:rPr>
          <w:bCs/>
          <w:b/>
        </w:rPr>
        <w:t xml:space="preserve">Deepening Emirati Engagement:</w:t>
      </w:r>
      <w:r>
        <w:t xml:space="preserve"> </w:t>
      </w:r>
      <w:r>
        <w:t xml:space="preserve">Increasing partnership opportunities with UAE-based educational innovators to strengthen local content development.</w:t>
      </w:r>
    </w:p>
    <w:p>
      <w:pPr>
        <w:numPr>
          <w:ilvl w:val="0"/>
          <w:numId w:val="1005"/>
        </w:numPr>
        <w:pStyle w:val="Compact"/>
      </w:pPr>
      <w:r>
        <w:rPr>
          <w:bCs/>
          <w:b/>
        </w:rPr>
        <w:t xml:space="preserve">Digital Transformation Sales:</w:t>
      </w:r>
      <w:r>
        <w:t xml:space="preserve"> </w:t>
      </w:r>
      <w:r>
        <w:t xml:space="preserve">Developing 'smart school' packages integrating AI and analytics for Abu Dhabi schools, leveraging the UAE's national digital strategy.</w:t>
      </w:r>
    </w:p>
    <w:p>
      <w:pPr>
        <w:numPr>
          <w:ilvl w:val="0"/>
          <w:numId w:val="1005"/>
        </w:numPr>
        <w:pStyle w:val="Compact"/>
      </w:pPr>
      <w:r>
        <w:rPr>
          <w:bCs/>
          <w:b/>
        </w:rPr>
        <w:t xml:space="preserve">Regional Expansion:</w:t>
      </w:r>
      <w:r>
        <w:t xml:space="preserve"> </w:t>
      </w:r>
      <w:r>
        <w:t xml:space="preserve">Replicating successful Abu Dhabi models in other emirates to create a unified, high-quality national education ecosystem under United Arab Emirates leadership.</w:t>
      </w:r>
    </w:p>
    <w:p>
      <w:pPr>
        <w:pStyle w:val="FirstParagraph"/>
      </w:pPr>
      <w:r>
        <w:t xml:space="preserve">In conclusion, the Education Administrator is the vital bridge connecting Abu Dhabi's educational vision with global opportunities. This role's success – measured not by transaction volume but by stakeholder impact and strategic alignment – is fundamental to the United Arab Emirates' continued progress in education excellence. The Q3 performance underscores that Abu Dhabi's education ecosystem, guided by its administrators, is primed for sustained leadership within the UAE and across the Gulf region.</w:t>
      </w:r>
    </w:p>
    <w:p>
      <w:pPr>
        <w:pStyle w:val="BodyText"/>
      </w:pPr>
      <w:r>
        <w:rPr>
          <w:bCs/>
          <w:b/>
        </w:rPr>
        <w:t xml:space="preserve">Prepared By:</w:t>
      </w:r>
      <w:r>
        <w:t xml:space="preserve"> </w:t>
      </w:r>
      <w:r>
        <w:t xml:space="preserve">Strategic Education Partnerships Division, Abu Dhabi</w:t>
      </w:r>
      <w:r>
        <w:br/>
      </w:r>
      <w:r>
        <w:rPr>
          <w:bCs/>
          <w:b/>
        </w:rPr>
        <w:t xml:space="preserve">Endorsed By:</w:t>
      </w:r>
      <w:r>
        <w:t xml:space="preserve"> </w:t>
      </w:r>
      <w:r>
        <w:t xml:space="preserve">Abu Dhabi Education Council (ADEC)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Education Administrator Sales Performance Report - Q3 2024</dc:title>
  <dc:creator/>
  <dc:language>en</dc:language>
  <cp:keywords/>
  <dcterms:created xsi:type="dcterms:W3CDTF">2026-07-23T21:04:07Z</dcterms:created>
  <dcterms:modified xsi:type="dcterms:W3CDTF">2026-07-23T21:04:07Z</dcterms:modified>
</cp:coreProperties>
</file>

<file path=docProps/custom.xml><?xml version="1.0" encoding="utf-8"?>
<Properties xmlns="http://schemas.openxmlformats.org/officeDocument/2006/custom-properties" xmlns:vt="http://schemas.openxmlformats.org/officeDocument/2006/docPropsVTypes"/>
</file>