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X2280ad7e3d235266cfd1e83c69399b2986fc380"/>
    <w:p>
      <w:pPr>
        <w:pStyle w:val="Heading1"/>
      </w:pPr>
      <w:r>
        <w:t xml:space="preserve">SALES REPORT: EDUCATION ADMINISTRATOR PERFORMANCE - UNITED KINGDOM LONDON MARKET</w:t>
      </w:r>
    </w:p>
    <w:p>
      <w:pPr>
        <w:pStyle w:val="FirstParagraph"/>
      </w:pPr>
      <w:r>
        <w:rPr>
          <w:bCs/>
          <w:b/>
        </w:rPr>
        <w:t xml:space="preserve">Prepared For:</w:t>
      </w:r>
      <w:r>
        <w:t xml:space="preserve"> </w:t>
      </w:r>
      <w:r>
        <w:t xml:space="preserve">Board of Directors, London Education Solutions Ltd.</w:t>
      </w:r>
    </w:p>
    <w:p>
      <w:pPr>
        <w:pStyle w:val="BodyText"/>
      </w:pPr>
      <w:r>
        <w:rPr>
          <w:bCs/>
          <w:b/>
        </w:rPr>
        <w:t xml:space="preserve">Date:</w:t>
      </w:r>
      <w:r>
        <w:t xml:space="preserve"> </w:t>
      </w:r>
      <w:r>
        <w:t xml:space="preserve">26 October 2023</w:t>
      </w:r>
    </w:p>
    <w:p>
      <w:pPr>
        <w:pStyle w:val="BodyText"/>
      </w:pPr>
      <w:r>
        <w:rPr>
          <w:bCs/>
          <w:b/>
        </w:rPr>
        <w:t xml:space="preserve">Prepared By:</w:t>
      </w:r>
      <w:r>
        <w:t xml:space="preserve"> </w:t>
      </w:r>
      <w:r>
        <w:t xml:space="preserve">Sarah Jennings, Director of Strategic Operations</w:t>
      </w:r>
    </w:p>
    <w:p>
      <w:pPr>
        <w:pStyle w:val="BodyText"/>
      </w:pP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Education Administrator team across the United Kingdom London market during Q3 2023. The Education Administrator role has proven instrumental in driving sales growth within London's competitive educational services sector, directly contributing to a 17% year-on-year revenue increase. As an essential position managing client relationships, contract administration, and sales pipeline coordination, the Education Administrator function represents the operational backbone of our commercial success in London. This report confirms that strategic focus on this role has yielded significant returns in a market where administrative excellence directly correlates with sales conversion rates.</w:t>
      </w:r>
    </w:p>
    <w:bookmarkEnd w:id="20"/>
    <w:bookmarkStart w:id="21" w:name="X28b411ed548bac07b318b0cf77344942b03d1da"/>
    <w:p>
      <w:pPr>
        <w:pStyle w:val="Heading2"/>
      </w:pPr>
      <w:r>
        <w:t xml:space="preserve">II. Market Context: United Kingdom London Education Landscape</w:t>
      </w:r>
    </w:p>
    <w:p>
      <w:pPr>
        <w:pStyle w:val="FirstParagraph"/>
      </w:pPr>
      <w:r>
        <w:t xml:space="preserve">London's education sector remains one of the most dynamic markets in the United Kingdom, characterized by high demand for specialized educational services across independent schools, academies, and tertiary institutions. The 2023 Department for Education (DfE) report confirms London's education expenditure grew by 9.3% annually, with a particular surge in demand for technology-integrated learning solutions. As an Education Administrator operating within this ecosystem, our team has navigated complex procurement cycles involving Local Authorities (LAs), school governing bodies, and multi-academy trusts (MATs). The unique challenges of the London market—including stringent compliance requirements under the School Standards Act 2018 and intense competition from regional providers—demand exceptional administrative precision from every Education Administrator.</w:t>
      </w:r>
    </w:p>
    <w:bookmarkEnd w:id="21"/>
    <w:bookmarkStart w:id="22" w:name="iii.-sales-performance-highlights"/>
    <w:p>
      <w:pPr>
        <w:pStyle w:val="Heading2"/>
      </w:pPr>
      <w:r>
        <w:t xml:space="preserve">III. Sales Performance Highlights</w:t>
      </w:r>
    </w:p>
    <w:p>
      <w:pPr>
        <w:pStyle w:val="FirstParagraph"/>
      </w:pPr>
      <w:r>
        <w:t xml:space="preserve">The following metrics demonstrate the direct impact of our Education Administrator team on sales outcomes:</w:t>
      </w:r>
    </w:p>
    <w:p>
      <w:pPr>
        <w:pStyle w:val="BodyText"/>
      </w:pPr>
      <w:r>
        <w:t xml:space="preserve">Key Metric</w:t>
      </w:r>
    </w:p>
    <w:bookmarkEnd w:id="22"/>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Secured (London)</w:t>
      </w:r>
    </w:p>
    <w:p>
      <w:pPr>
        <w:pStyle w:val="BodyText"/>
      </w:pPr>
      <w:r>
        <w:t xml:space="preserve">47</w:t>
      </w:r>
    </w:p>
    <w:p>
      <w:pPr>
        <w:pStyle w:val="BodyText"/>
      </w:pPr>
      <w:r>
        <w:t xml:space="preserve">38</w:t>
      </w:r>
    </w:p>
    <w:p>
      <w:pPr>
        <w:pStyle w:val="BodyText"/>
      </w:pPr>
      <w:r>
        <w:t xml:space="preserve">+23.7%</w:t>
      </w:r>
    </w:p>
    <w:p>
      <w:pPr>
        <w:pStyle w:val="BodyText"/>
      </w:pPr>
      <w:r>
        <w:t xml:space="preserve">Avg. Contract Value (£)</w:t>
      </w:r>
    </w:p>
    <w:p>
      <w:pPr>
        <w:pStyle w:val="BodyText"/>
      </w:pPr>
      <w:r>
        <w:t xml:space="preserve">£148,500</w:t>
      </w:r>
    </w:p>
    <w:p>
      <w:pPr>
        <w:pStyle w:val="BodyText"/>
      </w:pPr>
      <w:r>
        <w:t xml:space="preserve">&lt;</w:t>
      </w:r>
    </w:p>
    <w:p>
      <w:pPr>
        <w:pStyle w:val="BodyText"/>
      </w:pPr>
      <w:r>
        <w:t xml:space="preserve">£129,200</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w:t>
      </w:r>
    </w:p>
    <w:p>
      <w:pPr>
        <w:pStyle w:val="BodyText"/>
      </w:pPr>
      <w:r>
        <w:t xml:space="preserve">Sales Cycle Duration (Days)</w:t>
      </w:r>
    </w:p>
    <w:p>
      <w:pPr>
        <w:pStyle w:val="BodyText"/>
      </w:pPr>
      <w:r>
        <w:t xml:space="preserve">52</w:t>
      </w:r>
    </w:p>
    <w:p>
      <w:pPr>
        <w:pStyle w:val="BodyText"/>
      </w:pPr>
      <w:r>
        <w:t xml:space="preserve">&lt;</w:t>
      </w:r>
    </w:p>
    <w:p>
      <w:pPr>
        <w:pStyle w:val="BodyText"/>
      </w:pPr>
      <w:r>
        <w:t xml:space="preserve">67</w:t>
      </w:r>
    </w:p>
    <w:p>
      <w:pPr>
        <w:pStyle w:val="BodyText"/>
      </w:pPr>
      <w:r>
        <w:t xml:space="preserve">Total Revenue Generated</w:t>
      </w:r>
    </w:p>
    <w:p>
      <w:pPr>
        <w:pStyle w:val="BodyText"/>
      </w:pPr>
      <w:r>
        <w:t xml:space="preserve">£6,980,000</w:t>
      </w:r>
    </w:p>
    <w:p>
      <w:pPr>
        <w:pStyle w:val="BodyText"/>
      </w:pPr>
      <w:r>
        <w:t xml:space="preserve">£5,913,000</w:t>
      </w:r>
    </w:p>
    <w:p>
      <w:pPr>
        <w:pStyle w:val="BodyText"/>
      </w:pPr>
      <w:r>
        <w:t xml:space="preserve">The 23.7% increase in contracts secured demonstrates how effectively our Education Administrator team has optimized the sales process. By implementing automated CRM workflows specifically tailored to London's education procurement standards, we reduced administrative handoffs by 41%, accelerating deal closures in a market where school financial year cycles are critical.</w:t>
      </w:r>
    </w:p>
    <w:bookmarkStart w:id="23" w:name="Xd637b93389fc733978d9f0f40f7c1b7f494cba5"/>
    <w:p>
      <w:pPr>
        <w:pStyle w:val="Heading2"/>
      </w:pPr>
      <w:r>
        <w:t xml:space="preserve">IV. Education Administrator Impact Analysis</w:t>
      </w:r>
    </w:p>
    <w:p>
      <w:pPr>
        <w:pStyle w:val="FirstParagraph"/>
      </w:pPr>
      <w:r>
        <w:t xml:space="preserve">Our Education Administrators have evolved beyond traditional clerical roles to become strategic sales enablers. Key contributions include:</w:t>
      </w:r>
    </w:p>
    <w:p>
      <w:pPr>
        <w:numPr>
          <w:ilvl w:val="0"/>
          <w:numId w:val="1001"/>
        </w:numPr>
        <w:pStyle w:val="Compact"/>
      </w:pPr>
      <w:r>
        <w:rPr>
          <w:bCs/>
          <w:b/>
        </w:rPr>
        <w:t xml:space="preserve">Compliance Mastery:</w:t>
      </w:r>
      <w:r>
        <w:t xml:space="preserve"> </w:t>
      </w:r>
      <w:r>
        <w:t xml:space="preserve">Navigated complex London-specific requirements including the Local Authority Financial Management Standard (LAFMS) and GDPR compliance for student data handling, preventing 12 potential contract cancellations in Q3.</w:t>
      </w:r>
    </w:p>
    <w:p>
      <w:pPr>
        <w:numPr>
          <w:ilvl w:val="0"/>
          <w:numId w:val="1001"/>
        </w:numPr>
        <w:pStyle w:val="Compact"/>
      </w:pPr>
      <w:r>
        <w:rPr>
          <w:bCs/>
          <w:b/>
        </w:rPr>
        <w:t xml:space="preserve">Relationship Intelligence:</w:t>
      </w:r>
      <w:r>
        <w:t xml:space="preserve"> </w:t>
      </w:r>
      <w:r>
        <w:t xml:space="preserve">Education Administrators maintained 274 active school contacts across Greater London, identifying cross-selling opportunities that generated £1.2M in additional revenue from existing accounts.</w:t>
      </w:r>
    </w:p>
    <w:p>
      <w:pPr>
        <w:numPr>
          <w:ilvl w:val="0"/>
          <w:numId w:val="1001"/>
        </w:numPr>
        <w:pStyle w:val="Compact"/>
      </w:pPr>
      <w:r>
        <w:rPr>
          <w:bCs/>
          <w:b/>
        </w:rPr>
        <w:t xml:space="preserve">Process Innovation:</w:t>
      </w:r>
      <w:r>
        <w:t xml:space="preserve"> </w:t>
      </w:r>
      <w:r>
        <w:t xml:space="preserve">Implemented a digital onboarding portal for London schools, reducing contract setup time from 18 to 5 business days—a critical factor in the competitive London market where school procurement cycles run tightly against academic calendars.</w:t>
      </w:r>
    </w:p>
    <w:p>
      <w:pPr>
        <w:pStyle w:val="FirstParagraph"/>
      </w:pPr>
      <w:r>
        <w:t xml:space="preserve">Critical to our success has been the Education Administrator's role in interpreting regional nuances. For example, understanding that Inner London LAs prioritize digital literacy initiatives (72% of schools), while Outer London MATs focus on cost efficiency (68% prioritization), allowed for tailored sales approaches that directly improved conversion rates by 19%</w:t>
      </w:r>
    </w:p>
    <w:bookmarkEnd w:id="23"/>
    <w:bookmarkStart w:id="24" w:name="X5c22a5ff557114853d23155e4d9a22c7f9ddca1"/>
    <w:p>
      <w:pPr>
        <w:pStyle w:val="Heading2"/>
      </w:pPr>
      <w:r>
        <w:t xml:space="preserve">V. Challenges &amp; Strategic Adaptations in United Kingdom London</w:t>
      </w:r>
    </w:p>
    <w:p>
      <w:pPr>
        <w:pStyle w:val="FirstParagraph"/>
      </w:pPr>
      <w:r>
        <w:t xml:space="preserve">Operating within the United Kingdom London market presented specific hurdles requiring Education Administrator intervention:</w:t>
      </w:r>
    </w:p>
    <w:p>
      <w:pPr>
        <w:numPr>
          <w:ilvl w:val="0"/>
          <w:numId w:val="1002"/>
        </w:numPr>
        <w:pStyle w:val="Compact"/>
      </w:pPr>
      <w:r>
        <w:rPr>
          <w:bCs/>
          <w:b/>
        </w:rPr>
        <w:t xml:space="preserve">Procurement Complexity:</w:t>
      </w:r>
      <w:r>
        <w:t xml:space="preserve"> </w:t>
      </w:r>
      <w:r>
        <w:t xml:space="preserve">The 30% increase in tender submissions across London schools required Education Administrators to develop specialized bid management protocols, reducing response time from 21 to 8 days.</w:t>
      </w:r>
    </w:p>
    <w:p>
      <w:pPr>
        <w:numPr>
          <w:ilvl w:val="0"/>
          <w:numId w:val="1002"/>
        </w:numPr>
        <w:pStyle w:val="Compact"/>
      </w:pPr>
      <w:r>
        <w:rPr>
          <w:bCs/>
          <w:b/>
        </w:rPr>
        <w:t xml:space="preserve">Competition Pressure:</w:t>
      </w:r>
      <w:r>
        <w:t xml:space="preserve"> </w:t>
      </w:r>
      <w:r>
        <w:t xml:space="preserve">With 15 new education tech providers entering the London market in Q3, our administrators implemented competitor intelligence tracking, enabling us to differentiate our offerings on compliance and local support—critical factors for London schools.</w:t>
      </w:r>
    </w:p>
    <w:p>
      <w:pPr>
        <w:numPr>
          <w:ilvl w:val="0"/>
          <w:numId w:val="1002"/>
        </w:numPr>
        <w:pStyle w:val="Compact"/>
      </w:pPr>
      <w:r>
        <w:rPr>
          <w:bCs/>
          <w:b/>
        </w:rPr>
        <w:t xml:space="preserve">Talent Retention:</w:t>
      </w:r>
      <w:r>
        <w:t xml:space="preserve"> </w:t>
      </w:r>
      <w:r>
        <w:t xml:space="preserve">High demand for administrative expertise in London's education sector led to a 12% industry-wide attrition rate. We countered this through targeted professional development programs aligned with Ofsted framework requirements, reducing our Education Administrator turnover to 5% (vs. market average of 18%).</w:t>
      </w:r>
    </w:p>
    <w:p>
      <w:pPr>
        <w:pStyle w:val="FirstParagraph"/>
      </w:pPr>
      <w:r>
        <w:t xml:space="preserve">These adaptations directly demonstrate how the Education Administrator role has become a strategic asset rather than a support function in the United Kingdom London education ecosystem.</w:t>
      </w:r>
    </w:p>
    <w:bookmarkEnd w:id="24"/>
    <w:bookmarkStart w:id="25" w:name="vi.-forward-looking-recommendations"/>
    <w:p>
      <w:pPr>
        <w:pStyle w:val="Heading2"/>
      </w:pPr>
      <w:r>
        <w:t xml:space="preserve">VI. Forward-Looking Recommendations</w:t>
      </w:r>
    </w:p>
    <w:p>
      <w:pPr>
        <w:pStyle w:val="FirstParagraph"/>
      </w:pPr>
      <w:r>
        <w:t xml:space="preserve">To maintain our momentum in the United Kingdom London market, we recommend:</w:t>
      </w:r>
    </w:p>
    <w:p>
      <w:pPr>
        <w:numPr>
          <w:ilvl w:val="0"/>
          <w:numId w:val="1003"/>
        </w:numPr>
        <w:pStyle w:val="Compact"/>
      </w:pPr>
      <w:r>
        <w:rPr>
          <w:bCs/>
          <w:b/>
        </w:rPr>
        <w:t xml:space="preserve">London-Specific CRM Integration:</w:t>
      </w:r>
      <w:r>
        <w:t xml:space="preserve"> </w:t>
      </w:r>
      <w:r>
        <w:t xml:space="preserve">Enhance our CRM with DfE data feeds to automatically flag schools entering procurement cycles, allowing Education Administrators to initiate proactive engagement 30+ days earlier.</w:t>
      </w:r>
    </w:p>
    <w:p>
      <w:pPr>
        <w:numPr>
          <w:ilvl w:val="0"/>
          <w:numId w:val="1003"/>
        </w:numPr>
        <w:pStyle w:val="Compact"/>
      </w:pPr>
      <w:r>
        <w:rPr>
          <w:bCs/>
          <w:b/>
        </w:rPr>
        <w:t xml:space="preserve">Regulatory Training Program:</w:t>
      </w:r>
      <w:r>
        <w:t xml:space="preserve"> </w:t>
      </w:r>
      <w:r>
        <w:t xml:space="preserve">Develop mandatory training on London-specific education legislation for all Education Administrators, addressing the 22% of lost opportunities due to compliance misunderstandings in 2023.</w:t>
      </w:r>
    </w:p>
    <w:p>
      <w:pPr>
        <w:numPr>
          <w:ilvl w:val="0"/>
          <w:numId w:val="1003"/>
        </w:numPr>
        <w:pStyle w:val="Compact"/>
      </w:pPr>
      <w:r>
        <w:rPr>
          <w:bCs/>
          <w:b/>
        </w:rPr>
        <w:t xml:space="preserve">National Expansion Strategy:</w:t>
      </w:r>
      <w:r>
        <w:t xml:space="preserve"> </w:t>
      </w:r>
      <w:r>
        <w:t xml:space="preserve">Leverage London's success to replicate the Education Administrator model across other UK regions (notably Birmingham and Manchester), targeting a 15% revenue increase through standardized processes adapted for regional markets.</w:t>
      </w:r>
    </w:p>
    <w:p>
      <w:pPr>
        <w:pStyle w:val="FirstParagraph"/>
      </w:pPr>
      <w:r>
        <w:t xml:space="preserve">These initiatives will ensure the Education Administrator function continues delivering exceptional value in the United Kingdom London education market while establishing scalable best practices for national implementation.</w:t>
      </w:r>
    </w:p>
    <w:bookmarkEnd w:id="25"/>
    <w:bookmarkStart w:id="26" w:name="vii.-conclusion"/>
    <w:p>
      <w:pPr>
        <w:pStyle w:val="Heading2"/>
      </w:pPr>
      <w:r>
        <w:t xml:space="preserve">VII. Conclusion</w:t>
      </w:r>
    </w:p>
    <w:p>
      <w:pPr>
        <w:pStyle w:val="FirstParagraph"/>
      </w:pPr>
      <w:r>
        <w:t xml:space="preserve">This Sales Report unequivocally demonstrates that the Education Administrator role is a pivotal driver of commercial success in the United Kingdom London education sector. Our Q3 results—showing 17% revenue growth, 89% client retention, and accelerated sales cycles—were directly enabled by strategic investment in this function. As London's education market continues to evolve under policies like the Education Act 2022 and the National Plan for School Infrastructure, the Education Administrator must remain at the forefront of our sales strategy. The data confirms that where administrative excellence meets educational sector demands, measurable commercial outcomes follow. We project sustained growth exceeding 15% in Q4 through continued optimization of our Education Administrator workflows within London's unique market dynamics.</w:t>
      </w:r>
    </w:p>
    <w:p>
      <w:pPr>
        <w:pStyle w:val="BodyText"/>
      </w:pPr>
      <w:r>
        <w:rPr>
          <w:bCs/>
          <w:b/>
        </w:rPr>
        <w:t xml:space="preserve">Prepared with strategic focus on London's education landscape, this report underscores why the Education Administrator is not merely a support role—but the engine of sales performance in United Kingdom markets where precision meets opportunity.</w:t>
      </w:r>
    </w:p>
    <w:bookmarkEnd w:id="26"/>
    <w:bookmarkStart w:id="27" w:name="Xdfe0f20bc6a3d637d87f91199f96d210c6e5707"/>
    <w:p>
      <w:pPr>
        <w:pStyle w:val="Heading2"/>
      </w:pPr>
      <w:r>
        <w:t xml:space="preserve">VIII. Appendix: Key London Market Benchmarks</w:t>
      </w:r>
    </w:p>
    <w:p>
      <w:pPr>
        <w:numPr>
          <w:ilvl w:val="0"/>
          <w:numId w:val="1004"/>
        </w:numPr>
        <w:pStyle w:val="Compact"/>
      </w:pPr>
      <w:r>
        <w:t xml:space="preserve">London Education Sector Revenue (2023): £58.7bn (DfE Report)</w:t>
      </w:r>
    </w:p>
    <w:p>
      <w:pPr>
        <w:numPr>
          <w:ilvl w:val="0"/>
          <w:numId w:val="1004"/>
        </w:numPr>
        <w:pStyle w:val="Compact"/>
      </w:pPr>
      <w:r>
        <w:t xml:space="preserve">Avg. School Procurement Cycle in London: 63 days (vs. UK average of 71 days)</w:t>
      </w:r>
    </w:p>
    <w:p>
      <w:pPr>
        <w:numPr>
          <w:ilvl w:val="0"/>
          <w:numId w:val="1004"/>
        </w:numPr>
        <w:pStyle w:val="Compact"/>
      </w:pPr>
      <w:r>
        <w:t xml:space="preserve">Top London School Priorities: Digital Integration (47%), Cost Efficiency (32%), Staff Development (21%)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 United Kingdom London</dc:title>
  <dc:creator/>
  <dc:language>en</dc:language>
  <cp:keywords/>
  <dcterms:created xsi:type="dcterms:W3CDTF">2025-12-11T08:09:47Z</dcterms:created>
  <dcterms:modified xsi:type="dcterms:W3CDTF">2025-12-11T08:09:47Z</dcterms:modified>
</cp:coreProperties>
</file>

<file path=docProps/custom.xml><?xml version="1.0" encoding="utf-8"?>
<Properties xmlns="http://schemas.openxmlformats.org/officeDocument/2006/custom-properties" xmlns:vt="http://schemas.openxmlformats.org/officeDocument/2006/docPropsVTypes"/>
</file>