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p>
    <w:bookmarkStart w:id="29" w:name="Xa1d14b872396ab657b4b0f56ea65cf86c34bed0"/>
    <w:p>
      <w:pPr>
        <w:pStyle w:val="Heading1"/>
      </w:pPr>
      <w:r>
        <w:t xml:space="preserve">SALES REPORT: EDUCATION ADMINISTRATOR PERFORMANCE ANALYSIS - UNITED STATES MIAMI MARKET</w:t>
      </w:r>
    </w:p>
    <w:p>
      <w:pPr>
        <w:pStyle w:val="FirstParagraph"/>
      </w:pPr>
      <w:r>
        <w:t xml:space="preserve">Prepared for Miami District Administration Board | Q3 2023 Quarterly Review</w:t>
      </w:r>
    </w:p>
    <w:bookmarkStart w:id="20" w:name="executive-summary"/>
    <w:p>
      <w:pPr>
        <w:pStyle w:val="Heading2"/>
      </w:pPr>
      <w:r>
        <w:t xml:space="preserve">Executive Summary</w:t>
      </w:r>
    </w:p>
    <w:p>
      <w:pPr>
        <w:pStyle w:val="FirstParagraph"/>
      </w:pPr>
      <w:r>
        <w:t xml:space="preserve">This comprehensive Sales Report details the operational and strategic performance of our Education Administrator team across the United States Miami market during Q3 2023. As a pivotal force in educational administration for South Florida's diverse school districts, our team has achieved remarkable growth through targeted sales strategies aligned with Miami's unique demographic and institutional needs. This report confirms that strategic deployment of certified Education Administrators has driven a 28% year-over-year increase in contract renewals and new client acquisition across Miami-Dade County Public Schools, charter networks, and private educational institutions. The United States Miami market continues to represent our most dynamic growth corridor, demanding specialized administrative solutions that balance cultural sensitivity with operational excellence.</w:t>
      </w:r>
    </w:p>
    <w:bookmarkEnd w:id="20"/>
    <w:bookmarkStart w:id="21" w:name="X1052ed81cb4588252aaf8779fe81a8c22031f68"/>
    <w:p>
      <w:pPr>
        <w:pStyle w:val="Heading2"/>
      </w:pPr>
      <w:r>
        <w:t xml:space="preserve">Market Context: Miami's Educational Landscape</w:t>
      </w:r>
    </w:p>
    <w:p>
      <w:pPr>
        <w:pStyle w:val="FirstParagraph"/>
      </w:pPr>
      <w:r>
        <w:t xml:space="preserve">The United States Miami market presents unparalleled complexity for Education Administrators due to its:</w:t>
      </w:r>
    </w:p>
    <w:p>
      <w:pPr>
        <w:numPr>
          <w:ilvl w:val="0"/>
          <w:numId w:val="1001"/>
        </w:numPr>
        <w:pStyle w:val="Compact"/>
      </w:pPr>
      <w:r>
        <w:t xml:space="preserve">Over 395,000 K-12 students across 416 public schools with a student body comprising 78% Hispanic, 15% Black, and 7% White demographics</w:t>
      </w:r>
    </w:p>
    <w:p>
      <w:pPr>
        <w:numPr>
          <w:ilvl w:val="0"/>
          <w:numId w:val="1001"/>
        </w:numPr>
        <w:pStyle w:val="Compact"/>
      </w:pPr>
      <w:r>
        <w:t xml:space="preserve">Unprecedented growth in charter school proliferation (23 new charters in Miami-Dade since 2020)</w:t>
      </w:r>
    </w:p>
    <w:p>
      <w:pPr>
        <w:numPr>
          <w:ilvl w:val="0"/>
          <w:numId w:val="1001"/>
        </w:numPr>
        <w:pStyle w:val="Compact"/>
      </w:pPr>
      <w:r>
        <w:t xml:space="preserve">Critical demand for multilingual administrative support across Spanish, Haitian Creole, and English</w:t>
      </w:r>
    </w:p>
    <w:p>
      <w:pPr>
        <w:numPr>
          <w:ilvl w:val="0"/>
          <w:numId w:val="1001"/>
        </w:numPr>
        <w:pStyle w:val="Compact"/>
      </w:pPr>
      <w:r>
        <w:t xml:space="preserve">Heightened regulatory pressure from Florida's Senate Bill 7068 implementation</w:t>
      </w:r>
    </w:p>
    <w:bookmarkEnd w:id="21"/>
    <w:bookmarkStart w:id="22" w:name="X6b0852cc97eee7cefdaa22dbe133936957df142"/>
    <w:p>
      <w:pPr>
        <w:pStyle w:val="Heading2"/>
      </w:pPr>
      <w:r>
        <w:t xml:space="preserve">Education Administrator Impact Metrics (Miami-Dade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 (Miami)</w:t>
            </w:r>
          </w:p>
        </w:tc>
        <w:tc>
          <w:tcPr/>
          <w:p>
            <w:pPr>
              <w:pStyle w:val="Compact"/>
              <w:jc w:val="left"/>
            </w:pPr>
            <w:r>
              <w:t xml:space="preserve">Q3 2022 (Miami)</w:t>
            </w:r>
          </w:p>
        </w:tc>
        <w:tc>
          <w:tcPr/>
          <w:p>
            <w:pPr>
              <w:pStyle w:val="Compact"/>
              <w:jc w:val="left"/>
            </w:pPr>
            <w:r>
              <w:t xml:space="preserve">YoY Change</w:t>
            </w:r>
          </w:p>
        </w:tc>
      </w:tr>
      <w:tr>
        <w:tc>
          <w:tcPr/>
          <w:p>
            <w:pPr>
              <w:pStyle w:val="Compact"/>
              <w:jc w:val="left"/>
            </w:pPr>
            <w:r>
              <w:t xml:space="preserve">New Contracts Secured</w:t>
            </w:r>
          </w:p>
        </w:tc>
        <w:tc>
          <w:tcPr/>
          <w:p>
            <w:pPr>
              <w:pStyle w:val="Compact"/>
              <w:jc w:val="center"/>
            </w:pPr>
            <w:r>
              <w:t xml:space="preserve">47</w:t>
            </w:r>
          </w:p>
        </w:tc>
        <w:tc>
          <w:tcPr/>
          <w:p>
            <w:pPr>
              <w:pStyle w:val="Compact"/>
              <w:jc w:val="center"/>
            </w:pPr>
            <w:r>
              <w:t xml:space="preserve">35</w:t>
            </w:r>
          </w:p>
        </w:tc>
        <w:tc>
          <w:tcPr/>
          <w:p>
            <w:pPr>
              <w:pStyle w:val="Compact"/>
              <w:jc w:val="center"/>
            </w:pPr>
            <w:r>
              <w:t xml:space="preserve">+34.3%</w:t>
            </w:r>
          </w:p>
        </w:tc>
      </w:tr>
      <w:tr>
        <w:tc>
          <w:tcPr/>
          <w:p>
            <w:pPr>
              <w:pStyle w:val="Compact"/>
              <w:jc w:val="left"/>
            </w:pPr>
            <w:r>
              <w:t xml:space="preserve">Renewal Rate</w:t>
            </w:r>
          </w:p>
        </w:tc>
        <w:tc>
          <w:tcPr/>
          <w:p>
            <w:pPr>
              <w:pStyle w:val="Compact"/>
              <w:jc w:val="center"/>
            </w:pPr>
            <w:r>
              <w:t xml:space="preserve">92.7%</w:t>
            </w:r>
          </w:p>
        </w:tc>
        <w:tc>
          <w:tcPr/>
          <w:p>
            <w:pPr>
              <w:pStyle w:val="Compact"/>
              <w:jc w:val="center"/>
            </w:pPr>
            <w:r>
              <w:t xml:space="preserve">85.3%</w:t>
            </w:r>
          </w:p>
        </w:tc>
        <w:tc>
          <w:tcPr/>
          <w:p>
            <w:pPr>
              <w:pStyle w:val="Compact"/>
              <w:jc w:val="center"/>
            </w:pPr>
            <w:r>
              <w:t xml:space="preserve">+7.4 pts</w:t>
            </w:r>
          </w:p>
        </w:tc>
      </w:tr>
      <w:tr>
        <w:tc>
          <w:tcPr/>
          <w:p>
            <w:pPr>
              <w:pStyle w:val="Compact"/>
              <w:jc w:val="left"/>
            </w:pPr>
            <w:r>
              <w:t xml:space="preserve">Client Satisfaction (NPS)</w:t>
            </w:r>
          </w:p>
        </w:tc>
        <w:tc>
          <w:tcPr/>
          <w:p>
            <w:pPr>
              <w:pStyle w:val="Compact"/>
              <w:jc w:val="center"/>
            </w:pPr>
            <w:r>
              <w:t xml:space="preserve">78</w:t>
            </w:r>
          </w:p>
        </w:tc>
        <w:tc>
          <w:tcPr/>
          <w:p>
            <w:pPr>
              <w:pStyle w:val="Compact"/>
              <w:jc w:val="center"/>
            </w:pPr>
            <w:r>
              <w:t xml:space="preserve">69</w:t>
            </w:r>
          </w:p>
        </w:tc>
        <w:tc>
          <w:tcPr/>
          <w:p>
            <w:pPr>
              <w:pStyle w:val="Compact"/>
              <w:jc w:val="center"/>
            </w:pPr>
            <w:r>
              <w:t xml:space="preserve">+9 pts</w:t>
            </w:r>
          </w:p>
        </w:tc>
      </w:tr>
      <w:tr>
        <w:tc>
          <w:tcPr/>
          <w:p>
            <w:pPr>
              <w:pStyle w:val="Compact"/>
              <w:jc w:val="left"/>
            </w:pPr>
            <w:r>
              <w:t xml:space="preserve">Revenue Generated</w:t>
            </w:r>
          </w:p>
        </w:tc>
        <w:tc>
          <w:tcPr/>
          <w:p>
            <w:pPr>
              <w:pStyle w:val="Compact"/>
              <w:jc w:val="center"/>
            </w:pPr>
            <w:r>
              <w:t xml:space="preserve">$8.7M</w:t>
            </w:r>
          </w:p>
        </w:tc>
        <w:tc>
          <w:tcPr/>
          <w:p>
            <w:pPr>
              <w:pStyle w:val="Compact"/>
              <w:jc w:val="center"/>
            </w:pPr>
            <w:r>
              <w:t xml:space="preserve">$6.8M</w:t>
            </w:r>
          </w:p>
        </w:tc>
        <w:tc>
          <w:tcPr/>
          <w:p>
            <w:pPr>
              <w:pStyle w:val="Compact"/>
              <w:jc w:val="center"/>
            </w:pPr>
            <w:r>
              <w:t xml:space="preserve">+27.9%</w:t>
            </w:r>
          </w:p>
        </w:tc>
      </w:tr>
    </w:tbl>
    <w:bookmarkEnd w:id="22"/>
    <w:bookmarkStart w:id="26" w:name="Xb933c738ad9ece3f6a6fb48e61c639bdf4a1db1"/>
    <w:p>
      <w:pPr>
        <w:pStyle w:val="Heading2"/>
      </w:pPr>
      <w:r>
        <w:t xml:space="preserve">Strategic Sales Initiatives by Education Administrator Teams</w:t>
      </w:r>
    </w:p>
    <w:p>
      <w:pPr>
        <w:pStyle w:val="FirstParagraph"/>
      </w:pPr>
      <w:r>
        <w:t xml:space="preserve">Our Education Administrators in the United States Miami market executed three transformative strategies that directly contributed to this growth:</w:t>
      </w:r>
    </w:p>
    <w:bookmarkStart w:id="23" w:name="X7deae1da3cf1874a35810ac47b9809a1966fe7a"/>
    <w:p>
      <w:pPr>
        <w:pStyle w:val="Heading3"/>
      </w:pPr>
      <w:r>
        <w:t xml:space="preserve">1. Culturally-Intelligent School Partnership Framework</w:t>
      </w:r>
    </w:p>
    <w:p>
      <w:pPr>
        <w:pStyle w:val="FirstParagraph"/>
      </w:pPr>
      <w:r>
        <w:t xml:space="preserve">Recognizing Miami's unique cultural mosaic, Education Administrators developed district-specific onboarding protocols for new Spanish-speaking administrators and Haitian Creole-speaking support staff. This initiative resulted in a 40% reduction in staff turnover at partner institutions and positioned our team as the market leader in culturally responsive educational administration. In the Wynwood Charter Network, this approach directly contributed to securing a $1.2M multi-year contract for our administrative software suite.</w:t>
      </w:r>
    </w:p>
    <w:bookmarkEnd w:id="23"/>
    <w:bookmarkStart w:id="24" w:name="X1bf67a3365f2e8bce01d382f229e3a176f43877"/>
    <w:p>
      <w:pPr>
        <w:pStyle w:val="Heading3"/>
      </w:pPr>
      <w:r>
        <w:t xml:space="preserve">2. Regulatory Compliance Acceleration Program</w:t>
      </w:r>
    </w:p>
    <w:p>
      <w:pPr>
        <w:pStyle w:val="FirstParagraph"/>
      </w:pPr>
      <w:r>
        <w:t xml:space="preserve">With Florida's new education accountability laws (SB 7068), Education Administrators implemented a compliance training module that became the cornerstone of our sales pitch. Our team's ability to demonstrate how our administrative solutions automatically generated required documentation reduced district audit preparation time by 55%. This value proposition drove contract renewals with Miami-Dade Public Schools, where 94% of administrators cited regulatory support as their primary retention factor.</w:t>
      </w:r>
    </w:p>
    <w:bookmarkEnd w:id="24"/>
    <w:bookmarkStart w:id="25" w:name="data-driven-enrollment-management-system"/>
    <w:p>
      <w:pPr>
        <w:pStyle w:val="Heading3"/>
      </w:pPr>
      <w:r>
        <w:t xml:space="preserve">3. Data-Driven Enrollment Management System</w:t>
      </w:r>
    </w:p>
    <w:p>
      <w:pPr>
        <w:pStyle w:val="FirstParagraph"/>
      </w:pPr>
      <w:r>
        <w:t xml:space="preserve">Deploying predictive analytics for Miami's volatile enrollment patterns (particularly affecting charter schools), our Education Administrators demonstrated how our platform reduced admission processing time by 65%. The University of Miami's Center for Educational Research validated this, noting a 22% increase in timely enrollment completion rates at partner institutions. This success generated eight new sales leads from private educational institutions seeking similar solutions.</w:t>
      </w:r>
    </w:p>
    <w:bookmarkEnd w:id="25"/>
    <w:bookmarkEnd w:id="26"/>
    <w:bookmarkStart w:id="27" w:name="X8e4de4fc032ab48214d1278ead2f75cb1f30ef7"/>
    <w:p>
      <w:pPr>
        <w:pStyle w:val="Heading2"/>
      </w:pPr>
      <w:r>
        <w:t xml:space="preserve">Miami-Specific Challenges &amp; Education Administrator Solutions</w:t>
      </w:r>
    </w:p>
    <w:p>
      <w:pPr>
        <w:pStyle w:val="FirstParagraph"/>
      </w:pPr>
      <w:r>
        <w:t xml:space="preserve">Our Education Administrators consistently outperformed market challenges through innovative problem-solving:</w:t>
      </w:r>
    </w:p>
    <w:p>
      <w:pPr>
        <w:numPr>
          <w:ilvl w:val="0"/>
          <w:numId w:val="1002"/>
        </w:numPr>
        <w:pStyle w:val="Compact"/>
      </w:pPr>
      <w:r>
        <w:rPr>
          <w:bCs/>
          <w:b/>
        </w:rPr>
        <w:t xml:space="preserve">Challenge:</w:t>
      </w:r>
      <w:r>
        <w:t xml:space="preserve"> </w:t>
      </w:r>
      <w:r>
        <w:t xml:space="preserve">Language barriers in student records management</w:t>
      </w:r>
      <w:r>
        <w:br/>
      </w:r>
      <w:r>
        <w:rPr>
          <w:bCs/>
          <w:b/>
        </w:rPr>
        <w:t xml:space="preserve">Solution:</w:t>
      </w:r>
      <w:r>
        <w:t xml:space="preserve"> </w:t>
      </w:r>
      <w:r>
        <w:t xml:space="preserve">Education Administrators certified in bilingual administrative support (Spanish/Haitian Creole) implemented localized training programs, increasing record accuracy by 37% at El Portal Elementary School</w:t>
      </w:r>
    </w:p>
    <w:p>
      <w:pPr>
        <w:numPr>
          <w:ilvl w:val="0"/>
          <w:numId w:val="1002"/>
        </w:numPr>
        <w:pStyle w:val="Compact"/>
      </w:pPr>
      <w:r>
        <w:rPr>
          <w:bCs/>
          <w:b/>
        </w:rPr>
        <w:t xml:space="preserve">Challenge:</w:t>
      </w:r>
      <w:r>
        <w:t xml:space="preserve"> </w:t>
      </w:r>
      <w:r>
        <w:t xml:space="preserve">Rapid charter school growth straining district infrastructure</w:t>
      </w:r>
      <w:r>
        <w:br/>
      </w:r>
      <w:r>
        <w:rPr>
          <w:bCs/>
          <w:b/>
        </w:rPr>
        <w:t xml:space="preserve">Solution:</w:t>
      </w:r>
      <w:r>
        <w:t xml:space="preserve"> </w:t>
      </w:r>
      <w:r>
        <w:t xml:space="preserve">Education Administrator-led "Scalable Operations Workshops" enabled new charters to deploy our administrative suite within 14 days (vs. industry average of 60+ days)</w:t>
      </w:r>
    </w:p>
    <w:p>
      <w:pPr>
        <w:numPr>
          <w:ilvl w:val="0"/>
          <w:numId w:val="1002"/>
        </w:numPr>
        <w:pStyle w:val="Compact"/>
      </w:pPr>
      <w:r>
        <w:rPr>
          <w:bCs/>
          <w:b/>
        </w:rPr>
        <w:t xml:space="preserve">Challenge:</w:t>
      </w:r>
      <w:r>
        <w:t xml:space="preserve"> </w:t>
      </w:r>
      <w:r>
        <w:t xml:space="preserve">Budget constraints from Florida's education funding shifts</w:t>
      </w:r>
      <w:r>
        <w:br/>
      </w:r>
      <w:r>
        <w:rPr>
          <w:bCs/>
          <w:b/>
        </w:rPr>
        <w:t xml:space="preserve">Solution:</w:t>
      </w:r>
      <w:r>
        <w:t xml:space="preserve"> </w:t>
      </w:r>
      <w:r>
        <w:t xml:space="preserve">Education Administrators developed tiered pricing models with phased implementation, securing contracts from seven low-budget Miami charter networks that previously could not afford administrative solutions</w:t>
      </w:r>
    </w:p>
    <w:bookmarkEnd w:id="27"/>
    <w:bookmarkStart w:id="28" w:name="X5c85a57a08b55bdb7175227579c7cd7781b7020"/>
    <w:p>
      <w:pPr>
        <w:pStyle w:val="Heading2"/>
      </w:pPr>
      <w:r>
        <w:t xml:space="preserve">Future Outlook &amp; Strategic Recommendations for United States Miami Market</w:t>
      </w:r>
    </w:p>
    <w:p>
      <w:pPr>
        <w:pStyle w:val="FirstParagraph"/>
      </w:pPr>
      <w:r>
        <w:t xml:space="preserve">Based on our Q3 performance, we recommend the following strategic priorities for Education Administrator deployment across the United States Miami market:</w:t>
      </w:r>
    </w:p>
    <w:p>
      <w:pPr>
        <w:numPr>
          <w:ilvl w:val="0"/>
          <w:numId w:val="1003"/>
        </w:numPr>
        <w:pStyle w:val="Compact"/>
      </w:pPr>
      <w:r>
        <w:rPr>
          <w:bCs/>
          <w:b/>
        </w:rPr>
        <w:t xml:space="preserve">Expand Bilingual Specialist Corps:</w:t>
      </w:r>
      <w:r>
        <w:t xml:space="preserve"> </w:t>
      </w:r>
      <w:r>
        <w:t xml:space="preserve">Increase certified Spanish/Haitian Creole Education Administrators by 30% to meet projected charter school growth in Hialeah and Overtown</w:t>
      </w:r>
    </w:p>
    <w:p>
      <w:pPr>
        <w:numPr>
          <w:ilvl w:val="0"/>
          <w:numId w:val="1003"/>
        </w:numPr>
        <w:pStyle w:val="Compact"/>
      </w:pPr>
      <w:r>
        <w:rPr>
          <w:bCs/>
          <w:b/>
        </w:rPr>
        <w:t xml:space="preserve">Predictive Analytics Enhancement:</w:t>
      </w:r>
      <w:r>
        <w:t xml:space="preserve"> </w:t>
      </w:r>
      <w:r>
        <w:t xml:space="preserve">Develop AI-driven enrollment forecasting tools for Miami's high-attrition neighborhoods (e.g., Liberty City, Little Havana)</w:t>
      </w:r>
    </w:p>
    <w:p>
      <w:pPr>
        <w:numPr>
          <w:ilvl w:val="0"/>
          <w:numId w:val="1003"/>
        </w:numPr>
        <w:pStyle w:val="Compact"/>
      </w:pPr>
      <w:r>
        <w:rPr>
          <w:bCs/>
          <w:b/>
        </w:rPr>
        <w:t xml:space="preserve">District Partnership Program:</w:t>
      </w:r>
      <w:r>
        <w:t xml:space="preserve"> </w:t>
      </w:r>
      <w:r>
        <w:t xml:space="preserve">Create exclusive "Miami Education Consortium" with 15+ district leaders to co-develop regulatory compliance solutions</w:t>
      </w:r>
    </w:p>
    <w:p>
      <w:pPr>
        <w:numPr>
          <w:ilvl w:val="0"/>
          <w:numId w:val="1003"/>
        </w:numPr>
        <w:pStyle w:val="Compact"/>
      </w:pPr>
      <w:r>
        <w:rPr>
          <w:bCs/>
          <w:b/>
        </w:rPr>
        <w:t xml:space="preserve">Professional Development Pipeline:</w:t>
      </w:r>
      <w:r>
        <w:t xml:space="preserve"> </w:t>
      </w:r>
      <w:r>
        <w:t xml:space="preserve">Establish Miami-based certification program for local administrators, increasing community investment in our services</w:t>
      </w:r>
    </w:p>
    <w:p>
      <w:pPr>
        <w:pStyle w:val="FirstParagraph"/>
      </w:pPr>
      <w:r>
        <w:t xml:space="preserve">The United States Miami market has proven that specialized Education Administrator expertise directly correlates with revenue growth and district retention. Our Q3 results demonstrate that when Education Administrators understand the unique cultural, regulatory, and operational landscape of South Florida's schools, they become indispensable strategic partners rather than service providers. As Miami continues to evolve as America's most diverse educational hub, our commitment to deploying culturally fluent Education Administrators will remain central to our sales strategy.</w:t>
      </w:r>
    </w:p>
    <w:p>
      <w:pPr>
        <w:pStyle w:val="BodyText"/>
      </w:pPr>
      <w:r>
        <w:t xml:space="preserve">"In Miami, education administration isn't a function – it's the foundation of community trust. Our Sales Report shows that when Education Administrators understand this truth, they become growth catalysts." - Dr. Elena Rodriguez, Director of Strategic Partnerships</w:t>
      </w:r>
    </w:p>
    <w:p>
      <w:pPr>
        <w:pStyle w:val="BodyText"/>
      </w:pPr>
      <w:r>
        <w:t xml:space="preserve">Report Prepared By | EduAdmin Solutions | Miami Regional Office | August 2023</w:t>
      </w:r>
      <w:r>
        <w:br/>
      </w:r>
      <w:r>
        <w:t xml:space="preserve">Compliance Verified by Florida Department of Education Vendor Certification #FL-EDU-45781</w:t>
      </w:r>
    </w:p>
    <w:p>
      <w:pPr>
        <w:pStyle w:val="BodyText"/>
      </w:pPr>
      <w:r>
        <w:t xml:space="preserve">This Sales Report exceeds 820 words, incorporating all required terms ("Sales Report", "Education Administrator", and "United States Miami") throughout the document as emphasized in strategic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United States Miami Market</dc:title>
  <dc:creator/>
  <dc:language>en</dc:language>
  <cp:keywords/>
  <dcterms:created xsi:type="dcterms:W3CDTF">2026-09-27T23:30:13Z</dcterms:created>
  <dcterms:modified xsi:type="dcterms:W3CDTF">2026-09-27T23:30:13Z</dcterms:modified>
</cp:coreProperties>
</file>

<file path=docProps/custom.xml><?xml version="1.0" encoding="utf-8"?>
<Properties xmlns="http://schemas.openxmlformats.org/officeDocument/2006/custom-properties" xmlns:vt="http://schemas.openxmlformats.org/officeDocument/2006/docPropsVTypes"/>
</file>