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Tashkent,</w:t>
      </w:r>
      <w:r>
        <w:t xml:space="preserve"> </w:t>
      </w:r>
      <w:r>
        <w:t xml:space="preserve">Uzbekistan</w:t>
      </w:r>
    </w:p>
    <w:bookmarkStart w:id="29" w:name="X4268899126d8330dfc0019b5b730c5e727c65fc"/>
    <w:p>
      <w:pPr>
        <w:pStyle w:val="Heading1"/>
      </w:pPr>
      <w:r>
        <w:t xml:space="preserve">Sales Report: Education Administrator Services Market Analysis for Tashkent, Uzbekistan</w:t>
      </w:r>
    </w:p>
    <w:p>
      <w:pPr>
        <w:pStyle w:val="FirstParagraph"/>
      </w:pPr>
      <w:r>
        <w:rPr>
          <w:bCs/>
          <w:b/>
        </w:rPr>
        <w:t xml:space="preserve">Prepared For:</w:t>
      </w:r>
      <w:r>
        <w:t xml:space="preserve"> </w:t>
      </w:r>
      <w:r>
        <w:t xml:space="preserve">International Education Solutions Division</w:t>
      </w:r>
      <w:r>
        <w:br/>
      </w:r>
      <w:r>
        <w:rPr>
          <w:bCs/>
          <w:b/>
        </w:rPr>
        <w:t xml:space="preserve">Date:</w:t>
      </w:r>
      <w:r>
        <w:t xml:space="preserve"> </w:t>
      </w:r>
      <w:r>
        <w:t xml:space="preserve">October 26, 2023</w:t>
      </w:r>
      <w:r>
        <w:br/>
      </w:r>
      <w:r>
        <w:rPr>
          <w:bCs/>
          <w:b/>
        </w:rPr>
        <w:t xml:space="preserve">Region:</w:t>
      </w:r>
      <w:r>
        <w:t xml:space="preserve"> </w:t>
      </w:r>
      <w:r>
        <w:t xml:space="preserve">Uzbekistan Tashkent</w:t>
      </w:r>
    </w:p>
    <w:bookmarkStart w:id="20" w:name="executive-summary"/>
    <w:p>
      <w:pPr>
        <w:pStyle w:val="Heading2"/>
      </w:pPr>
      <w:r>
        <w:t xml:space="preserve">1. Executive Summary</w:t>
      </w:r>
    </w:p>
    <w:p>
      <w:pPr>
        <w:pStyle w:val="FirstParagraph"/>
      </w:pPr>
      <w:r>
        <w:t xml:space="preserve">This comprehensive Sales Report details market performance and strategic opportunities for Education Administrator services within the rapidly evolving educational landscape of Uzbekistan Tashkent. As the capital city and educational hub of Uzbekistan, Tashkent represents a critical growth frontier for our education technology solutions. The report confirms that demand for professional Education Administrator support has surged by 37% year-over-year, driven by national education reform initiatives under the "New Uzbekistan" vision. This document serves as both a performance assessment and strategic roadmap for expanding our market leadership in Uzbekistan Tashkent.</w:t>
      </w:r>
    </w:p>
    <w:bookmarkEnd w:id="20"/>
    <w:bookmarkStart w:id="22" w:name="Xee5b860936d22567f3576ff18f51cad98b1bd17"/>
    <w:p>
      <w:pPr>
        <w:pStyle w:val="Heading2"/>
      </w:pPr>
      <w:r>
        <w:t xml:space="preserve">2. Market Context: Education Administrator Demand in Tashkent</w:t>
      </w:r>
    </w:p>
    <w:p>
      <w:pPr>
        <w:pStyle w:val="FirstParagraph"/>
      </w:pPr>
      <w:r>
        <w:t xml:space="preserve">Tashkent's education sector is undergoing transformative change under Uzbekistan's national strategy to modernize 5,000+ schools by 2025. The city currently houses over 1,800 educational institutions—spanning public schools, private academies, and international programs—creating unprecedented demand for efficient Education Administrator solutions. Our Sales Report identifies that 78% of Tashkent-based institutions now require digital administrative tools to comply with new Ministry of Education regulations on student data management and curriculum tracking. This represents a $14.2 million market opportunity in Uzbekistan Tashkent alone, with an annual growth rate exceeding 22%.</w:t>
      </w:r>
    </w:p>
    <w:bookmarkStart w:id="21" w:name="key-market-drivers"/>
    <w:p>
      <w:pPr>
        <w:pStyle w:val="Heading3"/>
      </w:pPr>
      <w:r>
        <w:t xml:space="preserve">Key Market Drivers:</w:t>
      </w:r>
    </w:p>
    <w:p>
      <w:pPr>
        <w:numPr>
          <w:ilvl w:val="0"/>
          <w:numId w:val="1001"/>
        </w:numPr>
        <w:pStyle w:val="Compact"/>
      </w:pPr>
      <w:r>
        <w:rPr>
          <w:bCs/>
          <w:b/>
        </w:rPr>
        <w:t xml:space="preserve">National Digital Transformation Mandate:</w:t>
      </w:r>
      <w:r>
        <w:t xml:space="preserve"> </w:t>
      </w:r>
      <w:r>
        <w:t xml:space="preserve">Government directive requiring all institutions to adopt electronic record-keeping by Q1 2024</w:t>
      </w:r>
    </w:p>
    <w:p>
      <w:pPr>
        <w:numPr>
          <w:ilvl w:val="0"/>
          <w:numId w:val="1001"/>
        </w:numPr>
        <w:pStyle w:val="Compact"/>
      </w:pPr>
      <w:r>
        <w:rPr>
          <w:bCs/>
          <w:b/>
        </w:rPr>
        <w:t xml:space="preserve">Private School Expansion:</w:t>
      </w:r>
      <w:r>
        <w:t xml:space="preserve"> </w:t>
      </w:r>
      <w:r>
        <w:t xml:space="preserve">47 new private institutions opened in Tashkent during 2023, each requiring administrative infrastructure</w:t>
      </w:r>
    </w:p>
    <w:p>
      <w:pPr>
        <w:numPr>
          <w:ilvl w:val="0"/>
          <w:numId w:val="1001"/>
        </w:numPr>
        <w:pStyle w:val="Compact"/>
      </w:pPr>
      <w:r>
        <w:rPr>
          <w:bCs/>
          <w:b/>
        </w:rPr>
        <w:t xml:space="preserve">Teacher Shortage Crisis:</w:t>
      </w:r>
      <w:r>
        <w:t xml:space="preserve"> </w:t>
      </w:r>
      <w:r>
        <w:t xml:space="preserve">With only 65% of required teaching staff employed, schools increasingly outsource administrative functions to Education Administrators</w:t>
      </w:r>
    </w:p>
    <w:bookmarkEnd w:id="21"/>
    <w:bookmarkEnd w:id="22"/>
    <w:bookmarkStart w:id="23" w:name="sales-performance-highlights-q1-q3-2023"/>
    <w:p>
      <w:pPr>
        <w:pStyle w:val="Heading2"/>
      </w:pPr>
      <w:r>
        <w:t xml:space="preserve">3. Sales Performance Highlights (Q1-Q3 2023)</w:t>
      </w:r>
    </w:p>
    <w:p>
      <w:pPr>
        <w:pStyle w:val="FirstParagraph"/>
      </w:pPr>
      <w:r>
        <w:t xml:space="preserve">This Sales Report quantifies our market penetration in Uzbekistan Tashkent through the following metrics:</w:t>
      </w:r>
    </w:p>
    <w:p>
      <w:pPr>
        <w:pStyle w:val="BodyText"/>
      </w:pPr>
      <w:r>
        <w:t xml:space="preserve">Performance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New Client Acquisitions (Tashkent)</w:t>
      </w:r>
    </w:p>
    <w:p>
      <w:pPr>
        <w:pStyle w:val="BodyText"/>
      </w:pPr>
      <w:r>
        <w:t xml:space="preserve">47 institutions</w:t>
      </w:r>
    </w:p>
    <w:p>
      <w:pPr>
        <w:pStyle w:val="BodyText"/>
      </w:pPr>
      <w:r>
        <w:t xml:space="preserve">31 institutions</w:t>
      </w:r>
    </w:p>
    <w:p>
      <w:pPr>
        <w:pStyle w:val="BodyText"/>
      </w:pPr>
      <w:r>
        <w:t xml:space="preserve">+51.6%</w:t>
      </w:r>
    </w:p>
    <w:p>
      <w:pPr>
        <w:pStyle w:val="BodyText"/>
      </w:pPr>
      <w:r>
        <w:t xml:space="preserve">Solution Adoption Rate</w:t>
      </w:r>
    </w:p>
    <w:p>
      <w:pPr>
        <w:pStyle w:val="BodyText"/>
      </w:pPr>
      <w:r>
        <w:t xml:space="preserve">89%</w:t>
      </w:r>
    </w:p>
    <w:p>
      <w:pPr>
        <w:pStyle w:val="BodyText"/>
      </w:pPr>
      <w:r>
        <w:t xml:space="preserve">72%</w:t>
      </w:r>
    </w:p>
    <w:p>
      <w:pPr>
        <w:pStyle w:val="BodyText"/>
      </w:pPr>
      <w:r>
        <w:t xml:space="preserve">+17 percentage points</w:t>
      </w:r>
    </w:p>
    <w:p>
      <w:pPr>
        <w:pStyle w:val="BodyText"/>
      </w:pPr>
      <w:r>
        <w:t xml:space="preserve">Annual Recurring Revenue (ARR)</w:t>
      </w:r>
    </w:p>
    <w:p>
      <w:pPr>
        <w:pStyle w:val="BodyText"/>
      </w:pPr>
      <w:r>
        <w:t xml:space="preserve">$1.86M USD</w:t>
      </w:r>
    </w:p>
    <w:p>
      <w:pPr>
        <w:pStyle w:val="BodyText"/>
      </w:pPr>
      <w:r>
        <w:t xml:space="preserve">$1.24M USD</w:t>
      </w:r>
    </w:p>
    <w:p>
      <w:pPr>
        <w:pStyle w:val="BodyText"/>
      </w:pPr>
      <w:r>
        <w:t xml:space="preserve">+50%</w:t>
      </w:r>
    </w:p>
    <w:p>
      <w:pPr>
        <w:pStyle w:val="BodyText"/>
      </w:pPr>
      <w:r>
        <w:t xml:space="preserve">Notable achievements include securing contracts with Tashkent's three largest educational networks (Tashkent International School, Uzbekistan State University of World Languages, and Tashkent Children's City Hospital School). The Education Administrator suite achieved a 92% customer satisfaction rate among Tashkent institutions—significantly above the regional average of 85%.</w:t>
      </w:r>
    </w:p>
    <w:bookmarkEnd w:id="23"/>
    <w:bookmarkStart w:id="26" w:name="X5622bbcdbc9f466f0f0ea3f7f08b3433a2eabc1"/>
    <w:p>
      <w:pPr>
        <w:pStyle w:val="Heading2"/>
      </w:pPr>
      <w:r>
        <w:t xml:space="preserve">4. Regional Challenges &amp; Strategic Opportunities</w:t>
      </w:r>
    </w:p>
    <w:p>
      <w:pPr>
        <w:pStyle w:val="FirstParagraph"/>
      </w:pPr>
      <w:r>
        <w:t xml:space="preserve">While market potential is substantial, our Sales Report identifies critical challenges unique to Uzbekistan Tashkent:</w:t>
      </w:r>
    </w:p>
    <w:bookmarkStart w:id="24" w:name="key-challenges"/>
    <w:p>
      <w:pPr>
        <w:pStyle w:val="Heading3"/>
      </w:pPr>
      <w:r>
        <w:t xml:space="preserve">Key Challenges:</w:t>
      </w:r>
    </w:p>
    <w:p>
      <w:pPr>
        <w:numPr>
          <w:ilvl w:val="0"/>
          <w:numId w:val="1002"/>
        </w:numPr>
        <w:pStyle w:val="Compact"/>
      </w:pPr>
      <w:r>
        <w:rPr>
          <w:bCs/>
          <w:b/>
        </w:rPr>
        <w:t xml:space="preserve">Cultural Adaptation Requirement:</w:t>
      </w:r>
      <w:r>
        <w:t xml:space="preserve"> </w:t>
      </w:r>
      <w:r>
        <w:t xml:space="preserve">Legacy administrative systems in Uzbekistan schools require localization beyond standard English interfaces</w:t>
      </w:r>
    </w:p>
    <w:p>
      <w:pPr>
        <w:numPr>
          <w:ilvl w:val="0"/>
          <w:numId w:val="1002"/>
        </w:numPr>
        <w:pStyle w:val="Compact"/>
      </w:pPr>
      <w:r>
        <w:rPr>
          <w:bCs/>
          <w:b/>
        </w:rPr>
        <w:t xml:space="preserve">Budget Constraints:</w:t>
      </w:r>
      <w:r>
        <w:t xml:space="preserve"> </w:t>
      </w:r>
      <w:r>
        <w:t xml:space="preserve">68% of public institutions operate under strict annual education budgets</w:t>
      </w:r>
    </w:p>
    <w:p>
      <w:pPr>
        <w:numPr>
          <w:ilvl w:val="0"/>
          <w:numId w:val="1002"/>
        </w:numPr>
        <w:pStyle w:val="Compact"/>
      </w:pPr>
      <w:r>
        <w:rPr>
          <w:bCs/>
          <w:b/>
        </w:rPr>
        <w:t xml:space="preserve">Talent Shortage:</w:t>
      </w:r>
      <w:r>
        <w:t xml:space="preserve"> </w:t>
      </w:r>
      <w:r>
        <w:t xml:space="preserve">Only 15% of Tashkent's Education Administrators possess certified digital management skills</w:t>
      </w:r>
    </w:p>
    <w:bookmarkEnd w:id="24"/>
    <w:bookmarkStart w:id="25" w:name="strategic-opportunities"/>
    <w:p>
      <w:pPr>
        <w:pStyle w:val="Heading3"/>
      </w:pPr>
      <w:r>
        <w:t xml:space="preserve">Strategic Opportunities:</w:t>
      </w:r>
    </w:p>
    <w:p>
      <w:pPr>
        <w:pStyle w:val="FirstParagraph"/>
      </w:pPr>
      <w:r>
        <w:t xml:space="preserve">Addressing these challenges unlocks significant growth vectors. Our proposed solutions include:</w:t>
      </w:r>
    </w:p>
    <w:p>
      <w:pPr>
        <w:numPr>
          <w:ilvl w:val="0"/>
          <w:numId w:val="1003"/>
        </w:numPr>
        <w:pStyle w:val="Compact"/>
      </w:pPr>
      <w:r>
        <w:rPr>
          <w:bCs/>
          <w:b/>
        </w:rPr>
        <w:t xml:space="preserve">Localized Training Programs:</w:t>
      </w:r>
      <w:r>
        <w:t xml:space="preserve"> </w:t>
      </w:r>
      <w:r>
        <w:t xml:space="preserve">Partnering with Tashkent State Pedagogical University to certify Education Administrators in our platform (projected 200+ graduates by Q2 2024)</w:t>
      </w:r>
    </w:p>
    <w:p>
      <w:pPr>
        <w:numPr>
          <w:ilvl w:val="0"/>
          <w:numId w:val="1003"/>
        </w:numPr>
        <w:pStyle w:val="Compact"/>
      </w:pPr>
      <w:r>
        <w:rPr>
          <w:bCs/>
          <w:b/>
        </w:rPr>
        <w:t xml:space="preserve">Bundled Licensing Models:</w:t>
      </w:r>
      <w:r>
        <w:t xml:space="preserve"> </w:t>
      </w:r>
      <w:r>
        <w:t xml:space="preserve">Offering "Starter Packs" combining software licenses with government-mandated compliance training</w:t>
      </w:r>
    </w:p>
    <w:p>
      <w:pPr>
        <w:numPr>
          <w:ilvl w:val="0"/>
          <w:numId w:val="1003"/>
        </w:numPr>
        <w:pStyle w:val="Compact"/>
      </w:pPr>
      <w:r>
        <w:rPr>
          <w:bCs/>
          <w:b/>
        </w:rPr>
        <w:t xml:space="preserve">Tashkent-Specific Features:</w:t>
      </w:r>
      <w:r>
        <w:t xml:space="preserve"> </w:t>
      </w:r>
      <w:r>
        <w:t xml:space="preserve">Developing Uzbek-language interface modules and payment system integration for local bank partnerships</w:t>
      </w:r>
    </w:p>
    <w:bookmarkEnd w:id="25"/>
    <w:bookmarkEnd w:id="26"/>
    <w:bookmarkStart w:id="27" w:name="Xa6188bab57ce0bdd99c533cdcdb08401eb32b9c"/>
    <w:p>
      <w:pPr>
        <w:pStyle w:val="Heading2"/>
      </w:pPr>
      <w:r>
        <w:t xml:space="preserve">5. Future Growth Strategy: Education Administrator Market Leadership in Tashkent</w:t>
      </w:r>
    </w:p>
    <w:p>
      <w:pPr>
        <w:pStyle w:val="FirstParagraph"/>
      </w:pPr>
      <w:r>
        <w:t xml:space="preserve">This Sales Report concludes with a 12-month action plan to solidify our position as the premier Education Administrator service provider in Uzbekistan Tashkent:</w:t>
      </w:r>
    </w:p>
    <w:p>
      <w:pPr>
        <w:numPr>
          <w:ilvl w:val="0"/>
          <w:numId w:val="1004"/>
        </w:numPr>
        <w:pStyle w:val="Compact"/>
      </w:pPr>
      <w:r>
        <w:rPr>
          <w:bCs/>
          <w:b/>
        </w:rPr>
        <w:t xml:space="preserve">Establish Tashkent Innovation Hub:</w:t>
      </w:r>
      <w:r>
        <w:t xml:space="preserve"> </w:t>
      </w:r>
      <w:r>
        <w:t xml:space="preserve">Open dedicated local office by Q1 2024 staffed with Uzbek-speaking Education Administrator specialists</w:t>
      </w:r>
    </w:p>
    <w:p>
      <w:pPr>
        <w:numPr>
          <w:ilvl w:val="0"/>
          <w:numId w:val="1004"/>
        </w:numPr>
        <w:pStyle w:val="Compact"/>
      </w:pPr>
      <w:r>
        <w:rPr>
          <w:bCs/>
          <w:b/>
        </w:rPr>
        <w:t xml:space="preserve">Leverage Government Partnerships:</w:t>
      </w:r>
      <w:r>
        <w:t xml:space="preserve"> </w:t>
      </w:r>
      <w:r>
        <w:t xml:space="preserve">Secure MoU with Ministry of Education for official certification of our platform as the national standard</w:t>
      </w:r>
    </w:p>
    <w:p>
      <w:pPr>
        <w:numPr>
          <w:ilvl w:val="0"/>
          <w:numId w:val="1004"/>
        </w:numPr>
        <w:pStyle w:val="Compact"/>
      </w:pPr>
      <w:r>
        <w:rPr>
          <w:bCs/>
          <w:b/>
        </w:rPr>
        <w:t xml:space="preserve">Focus on Tier-2 Cities:</w:t>
      </w:r>
      <w:r>
        <w:t xml:space="preserve"> </w:t>
      </w:r>
      <w:r>
        <w:t xml:space="preserve">Develop scalable model to replicate Tashkent success in Samarkand and Bukhara (projected $3.1M market by 2025)</w:t>
      </w:r>
    </w:p>
    <w:p>
      <w:pPr>
        <w:numPr>
          <w:ilvl w:val="0"/>
          <w:numId w:val="1004"/>
        </w:numPr>
        <w:pStyle w:val="Compact"/>
      </w:pPr>
      <w:r>
        <w:rPr>
          <w:bCs/>
          <w:b/>
        </w:rPr>
        <w:t xml:space="preserve">Sustainability Integration:</w:t>
      </w:r>
      <w:r>
        <w:t xml:space="preserve"> </w:t>
      </w:r>
      <w:r>
        <w:t xml:space="preserve">Align Education Administrator solutions with Uzbekistan's national green school initiative through digital paperless systems</w:t>
      </w:r>
    </w:p>
    <w:p>
      <w:pPr>
        <w:pStyle w:val="FirstParagraph"/>
      </w:pPr>
      <w:r>
        <w:t xml:space="preserve">Our strategic roadmap projects 65% revenue growth in Uzbekistan Tashkent by 2024, supported by a new $750K investment in local market development. This will enable us to service over 3,000 institutions across the country—making Education Administrator solutions accessible to more students than ever before in Uzbekistan.</w:t>
      </w:r>
    </w:p>
    <w:bookmarkEnd w:id="27"/>
    <w:bookmarkStart w:id="28" w:name="conclusion-the-path-forward"/>
    <w:p>
      <w:pPr>
        <w:pStyle w:val="Heading2"/>
      </w:pPr>
      <w:r>
        <w:t xml:space="preserve">6. Conclusion: The Path Forward</w:t>
      </w:r>
    </w:p>
    <w:p>
      <w:pPr>
        <w:pStyle w:val="FirstParagraph"/>
      </w:pPr>
      <w:r>
        <w:t xml:space="preserve">The sales trajectory for Education Administrator services in Uzbekistan Tashkent demonstrates exceptional momentum, validating our regional investment strategy. This Sales Report confirms that Tashkent's educational transformation represents a pivotal moment for technology-driven administrative solutions. By addressing localization needs and building government partnerships, we are positioned to become the indispensable Education Administrator partner across Uzbekistan's entire education ecosystem.</w:t>
      </w:r>
    </w:p>
    <w:p>
      <w:pPr>
        <w:pStyle w:val="BodyText"/>
      </w:pPr>
      <w:r>
        <w:t xml:space="preserve">As Uzbekistan accelerates its national development goals, our role as a provider of efficient Education Administrator systems has evolved beyond software delivery to becoming a strategic enabler of educational equity. The success achieved in Tashkent serves as the blueprint for nationwide expansion, with every contract secured contributing directly to the "New Uzbekistan" vision. We recommend full executive approval for the proposed $750K market investment to capture this leadership position before competitive entrants establish footholds in this high-growth sector.</w:t>
      </w:r>
    </w:p>
    <w:p>
      <w:pPr>
        <w:pStyle w:val="BodyText"/>
      </w:pPr>
      <w:r>
        <w:rPr>
          <w:bCs/>
          <w:b/>
        </w:rPr>
        <w:t xml:space="preserve">Prepared By:</w:t>
      </w:r>
      <w:r>
        <w:t xml:space="preserve"> </w:t>
      </w:r>
      <w:r>
        <w:t xml:space="preserve">International Sales Strategy Division</w:t>
      </w:r>
      <w:r>
        <w:br/>
      </w:r>
      <w:r>
        <w:rPr>
          <w:bCs/>
          <w:b/>
        </w:rPr>
        <w:t xml:space="preserve">Contact:</w:t>
      </w:r>
      <w:r>
        <w:t xml:space="preserve"> </w:t>
      </w:r>
      <w:r>
        <w:t xml:space="preserve">tashkent.sales@educationtech.global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Tashkent, Uzbekistan</dc:title>
  <dc:creator/>
  <dc:language>en</dc:language>
  <cp:keywords/>
  <dcterms:created xsi:type="dcterms:W3CDTF">2026-07-23T15:41:04Z</dcterms:created>
  <dcterms:modified xsi:type="dcterms:W3CDTF">2026-07-23T15:41:04Z</dcterms:modified>
</cp:coreProperties>
</file>

<file path=docProps/custom.xml><?xml version="1.0" encoding="utf-8"?>
<Properties xmlns="http://schemas.openxmlformats.org/officeDocument/2006/custom-properties" xmlns:vt="http://schemas.openxmlformats.org/officeDocument/2006/docPropsVTypes"/>
</file>