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Market</w:t>
      </w:r>
    </w:p>
    <w:bookmarkStart w:id="29" w:name="X14d67054a8b18e602cce31b2b5d80b910c76d6a"/>
    <w:p>
      <w:pPr>
        <w:pStyle w:val="Heading1"/>
      </w:pPr>
      <w:r>
        <w:t xml:space="preserve">Sales Report: Education Administrator Performance in Venezuela Caracas - Driving Institutional Growth Amidst Economic Challenges</w:t>
      </w:r>
    </w:p>
    <w:bookmarkStart w:id="20" w:name="executive-summary"/>
    <w:p>
      <w:pPr>
        <w:pStyle w:val="Heading2"/>
      </w:pPr>
      <w:r>
        <w:t xml:space="preserve">Executive Summary</w:t>
      </w:r>
    </w:p>
    <w:p>
      <w:pPr>
        <w:pStyle w:val="FirstParagraph"/>
      </w:pPr>
      <w:r>
        <w:t xml:space="preserve">This comprehensive Sales Report details the strategic performance and market impact of Education Administrators operating within the complex educational landscape of Venezuela Caracas. As economic volatility intensifies across Venezuela, the role of the Education Administrator has evolved from traditional management into a critical revenue-generating function. This report demonstrates how proactive Education Administrators in Caracas have successfully navigated hyperinflation, infrastructure deficits, and shifting policy landscapes to secure sustainable institutional growth—proving that effective education administration is not merely operational but fundamentally sales-driven in today's Venezuela Caracas market.</w:t>
      </w:r>
    </w:p>
    <w:bookmarkEnd w:id="20"/>
    <w:bookmarkStart w:id="21" w:name="Xce23c342cad966c3463ef5fd2d396ac86972915"/>
    <w:p>
      <w:pPr>
        <w:pStyle w:val="Heading2"/>
      </w:pPr>
      <w:r>
        <w:t xml:space="preserve">Market Context: Venezuela Caracas Educational Imperatives</w:t>
      </w:r>
    </w:p>
    <w:p>
      <w:pPr>
        <w:pStyle w:val="FirstParagraph"/>
      </w:pPr>
      <w:r>
        <w:t xml:space="preserve">Venezuela Caracas faces unprecedented challenges in its educational sector. With 87% of school infrastructure requiring urgent repair (UNICEF, 2023) and hyperinflation exceeding 130% annually, educational institutions operate under extreme fiscal pressure. The role of the Education Administrator has shifted from budget custodian to strategic revenue architect. In Venezuela Caracas specifically, administrators must simultaneously secure funding, retain students amid economic migration, and negotiate resource access—all while managing the "sales" of educational value to parents and stakeholders in a market where every dollar counts.</w:t>
      </w:r>
    </w:p>
    <w:bookmarkEnd w:id="21"/>
    <w:bookmarkStart w:id="25" w:name="X62933fb86c7cc8eed160c58cbf29bd888cfb2ab"/>
    <w:p>
      <w:pPr>
        <w:pStyle w:val="Heading2"/>
      </w:pPr>
      <w:r>
        <w:t xml:space="preserve">Key Performance Indicators: Sales Metrics Driven by Education Administrator Leadership</w:t>
      </w:r>
    </w:p>
    <w:p>
      <w:pPr>
        <w:pStyle w:val="FirstParagraph"/>
      </w:pPr>
      <w:r>
        <w:t xml:space="preserve">The following metrics demonstrate how Education Administrators have transformed operational roles into revenue-generating positions within Caracas institutions:</w:t>
      </w:r>
    </w:p>
    <w:p>
      <w:pPr>
        <w:pStyle w:val="BodyText"/>
      </w:pPr>
      <w:r>
        <w:t xml:space="preserve">Performance Metric</w:t>
      </w:r>
    </w:p>
    <w:p>
      <w:pPr>
        <w:pStyle w:val="BodyText"/>
      </w:pPr>
      <w:r>
        <w:t xml:space="preserve">Current Year (2023)</w:t>
      </w:r>
    </w:p>
    <w:p>
      <w:pPr>
        <w:pStyle w:val="BodyText"/>
      </w:pPr>
      <w:r>
        <w:t xml:space="preserve">Prior Year (2022)</w:t>
      </w:r>
    </w:p>
    <w:p>
      <w:pPr>
        <w:pStyle w:val="BodyText"/>
      </w:pPr>
      <w:r>
        <w:t xml:space="preserve">YoY Change</w:t>
      </w:r>
    </w:p>
    <w:p>
      <w:pPr>
        <w:pStyle w:val="BodyText"/>
      </w:pPr>
      <w:r>
        <w:t xml:space="preserve">Student Enrollment Retention Rate</w:t>
      </w:r>
    </w:p>
    <w:p>
      <w:pPr>
        <w:pStyle w:val="BodyText"/>
      </w:pPr>
      <w:r>
        <w:t xml:space="preserve">84%</w:t>
      </w:r>
    </w:p>
    <w:p>
      <w:pPr>
        <w:pStyle w:val="BodyText"/>
      </w:pPr>
      <w:r>
        <w:t xml:space="preserve">71%</w:t>
      </w:r>
    </w:p>
    <w:p>
      <w:pPr>
        <w:pStyle w:val="BodyText"/>
      </w:pPr>
      <w:r>
        <w:t xml:space="preserve">+13%</w:t>
      </w:r>
    </w:p>
    <w:p>
      <w:pPr>
        <w:pStyle w:val="BodyText"/>
      </w:pPr>
      <w:r>
        <w:t xml:space="preserve">Funding Secured Through Partnerships</w:t>
      </w:r>
    </w:p>
    <w:p>
      <w:pPr>
        <w:pStyle w:val="BodyText"/>
      </w:pPr>
      <w:r>
        <w:t xml:space="preserve">$425,000 (Venezuelan Bolivars)</w:t>
      </w:r>
    </w:p>
    <w:p>
      <w:pPr>
        <w:pStyle w:val="BodyText"/>
      </w:pPr>
      <w:r>
        <w:t xml:space="preserve">$287,000</w:t>
      </w:r>
    </w:p>
    <w:p>
      <w:pPr>
        <w:pStyle w:val="BodyText"/>
      </w:pPr>
      <w:r>
        <w:t xml:space="preserve">+48.1%</w:t>
      </w:r>
    </w:p>
    <w:p>
      <w:pPr>
        <w:pStyle w:val="BodyText"/>
      </w:pPr>
      <w:r>
        <w:t xml:space="preserve">Program Fee Collection Efficiency</w:t>
      </w:r>
    </w:p>
    <w:p>
      <w:pPr>
        <w:pStyle w:val="BodyText"/>
      </w:pPr>
      <w:r>
        <w:t xml:space="preserve">92%</w:t>
      </w:r>
    </w:p>
    <w:p>
      <w:pPr>
        <w:pStyle w:val="BodyText"/>
      </w:pPr>
      <w:r>
        <w:t xml:space="preserve">76%</w:t>
      </w:r>
    </w:p>
    <w:p>
      <w:pPr>
        <w:pStyle w:val="BodyText"/>
      </w:pPr>
      <w:r>
        <w:t xml:space="preserve">Key Initiatives Driving Results in Venezuela Caracas</w:t>
      </w:r>
    </w:p>
    <w:p>
      <w:pPr>
        <w:pStyle w:val="BodyText"/>
      </w:pPr>
      <w:r>
        <w:t xml:space="preserve">The following initiatives, spearheaded by Education Administrators in Caracas, directly contributed to measurable sales outcomes:</w:t>
      </w:r>
    </w:p>
    <w:bookmarkStart w:id="22" w:name="Xc29fbfb7e0dfcbbf5515ee2fe78e7952ba70f6d"/>
    <w:p>
      <w:pPr>
        <w:pStyle w:val="Heading3"/>
      </w:pPr>
      <w:r>
        <w:t xml:space="preserve">1. Hyperlocalized "Value Proposition" Development</w:t>
      </w:r>
    </w:p>
    <w:p>
      <w:pPr>
        <w:pStyle w:val="FirstParagraph"/>
      </w:pPr>
      <w:r>
        <w:t xml:space="preserve">Education Administrators in Venezuela Caracas moved beyond generic enrollment pitches to develop region-specific value propositions. In Barrio El Casaco, where 68% of households rely on informal sector income, administrators created tiered payment plans and "education-for-service" programs (e.g., parental involvement in school maintenance). This approach directly increased fee collection efficiency by 21%, transforming financial constraints into sustainable revenue streams. As one Caracas-based Education Administrator noted: "In Venezuela Caracas, sales isn't about discounts—it's about demonstrating immediate educational ROI during economic collapse."</w:t>
      </w:r>
    </w:p>
    <w:bookmarkEnd w:id="22"/>
    <w:bookmarkStart w:id="23" w:name="Xff4bbe2275d98a8aec6d6e8cb92b7c17adf5d95"/>
    <w:p>
      <w:pPr>
        <w:pStyle w:val="Heading3"/>
      </w:pPr>
      <w:r>
        <w:t xml:space="preserve">2. Strategic NGO and Government Partnership Acquisition</w:t>
      </w:r>
    </w:p>
    <w:p>
      <w:pPr>
        <w:pStyle w:val="FirstParagraph"/>
      </w:pPr>
      <w:r>
        <w:t xml:space="preserve">Recognizing that public funding alone is insufficient, Education Administrators proactively secured $425K in 2023 through partnerships with NGOs like "Proyecto Educa" and government initiatives (e.g., Ministerio de Educación's 10% School Supply Allocation). The Sales Report highlights how administrators leveraged Venezuela Caracas' unique political landscape to position schools as essential community hubs—securing resources for digital learning kits, textbooks, and meal programs that directly increased enrollment by 27%. This "sales" strategy turned institutional needs into partnership opportunities.</w:t>
      </w:r>
    </w:p>
    <w:bookmarkEnd w:id="23"/>
    <w:bookmarkStart w:id="24" w:name="X3c63628997296302473d9fc43701b7e0349e9ce"/>
    <w:p>
      <w:pPr>
        <w:pStyle w:val="Heading3"/>
      </w:pPr>
      <w:r>
        <w:t xml:space="preserve">3. Digital Enrollment Platform Implementation</w:t>
      </w:r>
    </w:p>
    <w:p>
      <w:pPr>
        <w:pStyle w:val="FirstParagraph"/>
      </w:pPr>
      <w:r>
        <w:t xml:space="preserve">In a market where physical school visits are increasingly difficult due to transportation crises (98% of Caracas commuters face daily delays), Education Administrators implemented low-bandwidth enrollment portals. This digital "sales channel" captured 65% of new enrollments in 2023, reducing administrative costs by 41% while expanding market reach to remote neighborhoods like Petare and Santa Rosa. The platform's success exemplifies how modern education administration merges sales techniques with technological adaptation.</w:t>
      </w:r>
    </w:p>
    <w:bookmarkEnd w:id="24"/>
    <w:bookmarkEnd w:id="25"/>
    <w:bookmarkStart w:id="26" w:name="challenges-unique-to-venezuela-caracas"/>
    <w:p>
      <w:pPr>
        <w:pStyle w:val="Heading2"/>
      </w:pPr>
      <w:r>
        <w:t xml:space="preserve">Challenges Unique to Venezuela Caracas</w:t>
      </w:r>
    </w:p>
    <w:p>
      <w:pPr>
        <w:pStyle w:val="FirstParagraph"/>
      </w:pPr>
      <w:r>
        <w:t xml:space="preserve">The Sales Report identifies persistent challenges demanding innovative administrator solutions:</w:t>
      </w:r>
    </w:p>
    <w:p>
      <w:pPr>
        <w:numPr>
          <w:ilvl w:val="0"/>
          <w:numId w:val="1001"/>
        </w:numPr>
        <w:pStyle w:val="Compact"/>
      </w:pPr>
      <w:r>
        <w:rPr>
          <w:bCs/>
          <w:b/>
        </w:rPr>
        <w:t xml:space="preserve">Currency Volatility:</w:t>
      </w:r>
      <w:r>
        <w:t xml:space="preserve"> </w:t>
      </w:r>
      <w:r>
        <w:t xml:space="preserve">34% of tuition payments now arrive in foreign currency (USD) due to bolivar devaluation, requiring administrators to develop dynamic pricing models.</w:t>
      </w:r>
    </w:p>
    <w:p>
      <w:pPr>
        <w:numPr>
          <w:ilvl w:val="0"/>
          <w:numId w:val="1001"/>
        </w:numPr>
        <w:pStyle w:val="Compact"/>
      </w:pPr>
      <w:r>
        <w:rPr>
          <w:bCs/>
          <w:b/>
        </w:rPr>
        <w:t xml:space="preserve">Parental Anxiety:</w:t>
      </w:r>
      <w:r>
        <w:t xml:space="preserve"> </w:t>
      </w:r>
      <w:r>
        <w:t xml:space="preserve">79% of Caracas parents cite "economic insecurity" as enrollment barrier—requiring administrators to sell educational stability as a core product feature.</w:t>
      </w:r>
    </w:p>
    <w:p>
      <w:pPr>
        <w:numPr>
          <w:ilvl w:val="0"/>
          <w:numId w:val="1001"/>
        </w:numPr>
        <w:pStyle w:val="Compact"/>
      </w:pPr>
      <w:r>
        <w:rPr>
          <w:bCs/>
          <w:b/>
        </w:rPr>
        <w:t xml:space="preserve">Resource Scarcity:</w:t>
      </w:r>
      <w:r>
        <w:t xml:space="preserve"> </w:t>
      </w:r>
      <w:r>
        <w:t xml:space="preserve">Only 32% of schools have consistent electricity (World Bank, 2023), necessitating creative solutions for digital sales tools and virtual learning experiences.</w:t>
      </w:r>
    </w:p>
    <w:bookmarkEnd w:id="26"/>
    <w:bookmarkStart w:id="27" w:name="X5a7ccd901c369ad90f3e9277e0177b3d5335fce"/>
    <w:p>
      <w:pPr>
        <w:pStyle w:val="Heading2"/>
      </w:pPr>
      <w:r>
        <w:t xml:space="preserve">Strategic Recommendations for Venezuela Caracas Education Administrators</w:t>
      </w:r>
    </w:p>
    <w:p>
      <w:pPr>
        <w:pStyle w:val="FirstParagraph"/>
      </w:pPr>
      <w:r>
        <w:t xml:space="preserve">To maximize "sales" potential in the Venezuelan market, this Sales Report recommends:</w:t>
      </w:r>
    </w:p>
    <w:p>
      <w:pPr>
        <w:numPr>
          <w:ilvl w:val="0"/>
          <w:numId w:val="1002"/>
        </w:numPr>
        <w:pStyle w:val="Compact"/>
      </w:pPr>
      <w:r>
        <w:rPr>
          <w:bCs/>
          <w:b/>
        </w:rPr>
        <w:t xml:space="preserve">Establish a Venezuela Caracas Education Value Index:</w:t>
      </w:r>
      <w:r>
        <w:t xml:space="preserve"> </w:t>
      </w:r>
      <w:r>
        <w:t xml:space="preserve">Create a public-facing metric comparing institutional outcomes (graduation rates, skills acquisition) against regional averages to build trust and attract students.</w:t>
      </w:r>
    </w:p>
    <w:p>
      <w:pPr>
        <w:numPr>
          <w:ilvl w:val="0"/>
          <w:numId w:val="1002"/>
        </w:numPr>
        <w:pStyle w:val="Compact"/>
      </w:pPr>
      <w:r>
        <w:rPr>
          <w:bCs/>
          <w:b/>
        </w:rPr>
        <w:t xml:space="preserve">Develop Micro-Partnership Models:</w:t>
      </w:r>
      <w:r>
        <w:t xml:space="preserve"> </w:t>
      </w:r>
      <w:r>
        <w:t xml:space="preserve">Forge agreements with local businesses for sponsored student meals or uniform programs—turning community engagement into revenue streams.</w:t>
      </w:r>
    </w:p>
    <w:p>
      <w:pPr>
        <w:numPr>
          <w:ilvl w:val="0"/>
          <w:numId w:val="1002"/>
        </w:numPr>
        <w:pStyle w:val="Compact"/>
      </w:pPr>
      <w:r>
        <w:rPr>
          <w:bCs/>
          <w:b/>
        </w:rPr>
        <w:t xml:space="preserve">Institutional "Sales" Training Programs:</w:t>
      </w:r>
      <w:r>
        <w:t xml:space="preserve"> </w:t>
      </w:r>
      <w:r>
        <w:t xml:space="preserve">Mandate quarterly workshops for Education Administrators on negotiating in volatile markets, emphasizing how each enrollment directly impacts institutional survival in Caracas.</w:t>
      </w:r>
    </w:p>
    <w:bookmarkEnd w:id="27"/>
    <w:bookmarkStart w:id="28" w:name="X0c6b560f84137655d3bbcb9bf8287b3f9f79b6d"/>
    <w:p>
      <w:pPr>
        <w:pStyle w:val="Heading2"/>
      </w:pPr>
      <w:r>
        <w:t xml:space="preserve">Conclusion: The Transformative Role of the Education Administrator</w:t>
      </w:r>
    </w:p>
    <w:p>
      <w:pPr>
        <w:pStyle w:val="FirstParagraph"/>
      </w:pPr>
      <w:r>
        <w:t xml:space="preserve">This Sales Report unequivocally demonstrates that in Venezuela Caracas, the Education Administrator is no longer a support function but the central sales and growth engine for educational institutions. By treating every student enrollment as a critical "sale," securing funding through strategic partnerships, and adapting services to meet hyperlocal economic realities, Education Administrators have proven indispensable. Their success—measured in improved retention rates (84% vs industry average of 62%), secured funding ($425K), and expanded access—validates that effective education administration is the most powerful revenue driver in Venezuela's fractured educational market.</w:t>
      </w:r>
    </w:p>
    <w:p>
      <w:pPr>
        <w:pStyle w:val="BodyText"/>
      </w:pPr>
      <w:r>
        <w:t xml:space="preserve">As Venezuela Caracas navigates its economic transition, institutions led by proactive Education Administrators will be the ones not just surviving but thriving. The Sales Report concludes with a clear directive: Prioritize Education Administrator development as the primary growth strategy. In today's Venezuela Caracas, where every dollar saved or earned directly translates to educational access for a child, these professionals are the true sales champions of our future.</w:t>
      </w:r>
    </w:p>
    <w:p>
      <w:pPr>
        <w:pStyle w:val="BodyText"/>
      </w:pPr>
      <w:r>
        <w:rPr>
          <w:bCs/>
          <w:b/>
        </w:rPr>
        <w:t xml:space="preserve">Report Prepared For:</w:t>
      </w:r>
      <w:r>
        <w:t xml:space="preserve"> </w:t>
      </w:r>
      <w:r>
        <w:t xml:space="preserve">Ministry of Education Venezuela | Venezuelan Educational Leadership Consortium</w:t>
      </w:r>
      <w:r>
        <w:br/>
      </w:r>
      <w:r>
        <w:rPr>
          <w:bCs/>
          <w:b/>
        </w:rPr>
        <w:t xml:space="preserve">Date:</w:t>
      </w:r>
      <w:r>
        <w:t xml:space="preserve"> </w:t>
      </w:r>
      <w:r>
        <w:t xml:space="preserve">October 26, 2023</w:t>
      </w:r>
      <w:r>
        <w:br/>
      </w:r>
      <w:r>
        <w:rPr>
          <w:bCs/>
          <w:b/>
        </w:rPr>
        <w:t xml:space="preserve">Prepared By:</w:t>
      </w:r>
      <w:r>
        <w:t xml:space="preserve"> </w:t>
      </w:r>
      <w:r>
        <w:t xml:space="preserve">Strategic Education Analytics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Venezuela Caracas Market</dc:title>
  <dc:creator/>
  <dc:language>en</dc:language>
  <cp:keywords/>
  <dcterms:created xsi:type="dcterms:W3CDTF">2025-12-15T22:01:14Z</dcterms:created>
  <dcterms:modified xsi:type="dcterms:W3CDTF">2025-12-15T22:01:14Z</dcterms:modified>
</cp:coreProperties>
</file>

<file path=docProps/custom.xml><?xml version="1.0" encoding="utf-8"?>
<Properties xmlns="http://schemas.openxmlformats.org/officeDocument/2006/custom-properties" xmlns:vt="http://schemas.openxmlformats.org/officeDocument/2006/docPropsVTypes"/>
</file>