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Solutions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7f2c02f4de79a3bf3418dc3ee0756848f23324a"/>
    <w:p>
      <w:pPr>
        <w:pStyle w:val="Heading1"/>
      </w:pPr>
      <w:r>
        <w:t xml:space="preserve">Quarterly Sales Report: Strategic Growth in Education Administration for Vietnam Ho Chi Minh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Asia-Pacific Division</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our education administration solutions targeting institutions across Vietnam Ho Chi Minh City (HCMC). In Q3 2023, we achieved a remarkable</w:t>
      </w:r>
      <w:r>
        <w:t xml:space="preserve"> </w:t>
      </w:r>
      <w:r>
        <w:rPr>
          <w:bCs/>
          <w:b/>
        </w:rPr>
        <w:t xml:space="preserve">18.7% year-over-year growth</w:t>
      </w:r>
      <w:r>
        <w:t xml:space="preserve"> </w:t>
      </w:r>
      <w:r>
        <w:t xml:space="preserve">in sales revenue specifically for our flagship "EduAdmin Pro" platform, securing contracts with 42 new educational institutions in Vietnam Ho Chi Minh City. This success underscores the critical need for modernized administrative systems among local schools, universities, and training centers navigating HCMC's rapidly expanding education sector. The consistent demand from</w:t>
      </w:r>
      <w:r>
        <w:t xml:space="preserve"> </w:t>
      </w:r>
      <w:r>
        <w:rPr>
          <w:bCs/>
          <w:b/>
        </w:rPr>
        <w:t xml:space="preserve">Education Administrator</w:t>
      </w:r>
      <w:r>
        <w:t xml:space="preserve"> </w:t>
      </w:r>
      <w:r>
        <w:t xml:space="preserve">professionals has positioned us as a strategic partner in transforming operational efficiency across Southern Vietnam.</w:t>
      </w:r>
    </w:p>
    <w:bookmarkEnd w:id="20"/>
    <w:bookmarkStart w:id="21" w:name="X352141312b6daa247a8d9cb8f1f330db3e9ca2a"/>
    <w:p>
      <w:pPr>
        <w:pStyle w:val="Heading2"/>
      </w:pPr>
      <w:r>
        <w:t xml:space="preserve">II. Market Context: Education Sector Dynamics in Ho Chi Minh City</w:t>
      </w:r>
    </w:p>
    <w:p>
      <w:pPr>
        <w:pStyle w:val="FirstParagraph"/>
      </w:pPr>
      <w:r>
        <w:t xml:space="preserve">HCMC continues to lead Vietnam's education market, housing over 65% of the nation's international schools, private universities, and vocational training centers. With a population exceeding 9 million residents and sustained foreign investment inflows, the city faces unprecedented demand for quality education services. Our analysis reveals that</w:t>
      </w:r>
      <w:r>
        <w:t xml:space="preserve"> </w:t>
      </w:r>
      <w:r>
        <w:rPr>
          <w:bCs/>
          <w:b/>
        </w:rPr>
        <w:t xml:space="preserve">Education Administrator</w:t>
      </w:r>
      <w:r>
        <w:t xml:space="preserve"> </w:t>
      </w:r>
      <w:r>
        <w:t xml:space="preserve">roles have evolved from basic record-keeping to strategic operational leadership—mandating advanced technology solutions. In Vietnam Ho Chi Minh City, this shift has created a $287M market opportunity for integrated administrative platforms (Source: Vietnam Ministry of Education 2023). Competitors are underestimating this demand, while our localized approach to HCMC's regulatory environment has become our key differentiator.</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Total Q3 sales reached $1.48M, a 23% increase from Q2 and 18.7% above prior-year figures. Notably, 76% of revenue came from HCMC-based clients—demonstrating our geographic focus strategy.</w:t>
      </w:r>
    </w:p>
    <w:p>
      <w:pPr>
        <w:pStyle w:val="BodyText"/>
      </w:pPr>
      <w:r>
        <w:rPr>
          <w:bCs/>
          <w:b/>
        </w:rPr>
        <w:t xml:space="preserve">Key Account Acquisition:</w:t>
      </w:r>
      <w:r>
        <w:t xml:space="preserve"> </w:t>
      </w:r>
      <w:r>
        <w:t xml:space="preserve">Secured contracts with 3 Tier-1 institutions in Vietnam Ho Chi Minh City:</w:t>
      </w:r>
    </w:p>
    <w:p>
      <w:pPr>
        <w:numPr>
          <w:ilvl w:val="0"/>
          <w:numId w:val="1001"/>
        </w:numPr>
        <w:pStyle w:val="Compact"/>
      </w:pPr>
      <w:r>
        <w:t xml:space="preserve">Vietnam International School (HCMC Campus)</w:t>
      </w:r>
    </w:p>
    <w:p>
      <w:pPr>
        <w:numPr>
          <w:ilvl w:val="0"/>
          <w:numId w:val="1001"/>
        </w:numPr>
        <w:pStyle w:val="Compact"/>
      </w:pPr>
      <w:r>
        <w:t xml:space="preserve">HCMC University of Foreign Languages &amp; Information Technology</w:t>
      </w:r>
    </w:p>
    <w:p>
      <w:pPr>
        <w:numPr>
          <w:ilvl w:val="0"/>
          <w:numId w:val="1001"/>
        </w:numPr>
        <w:pStyle w:val="Compact"/>
      </w:pPr>
      <w:r>
        <w:t xml:space="preserve">Saigon Academy Group (5 campuses across Districts 1, 7, and Thu Duc)</w:t>
      </w:r>
    </w:p>
    <w:p>
      <w:pPr>
        <w:pStyle w:val="FirstParagraph"/>
      </w:pPr>
      <w:r>
        <w:rPr>
          <w:bCs/>
          <w:b/>
        </w:rPr>
        <w:t xml:space="preserve">Product Adoption:</w:t>
      </w:r>
      <w:r>
        <w:t xml:space="preserve"> </w:t>
      </w:r>
      <w:r>
        <w:t xml:space="preserve">EduAdmin Pro's AI-driven enrollment management module drove a 32% higher conversion rate among HCMC school administrators. The solution directly addressed pain points identified in our Q2 survey of</w:t>
      </w:r>
      <w:r>
        <w:t xml:space="preserve"> </w:t>
      </w:r>
      <w:r>
        <w:rPr>
          <w:bCs/>
          <w:b/>
        </w:rPr>
        <w:t xml:space="preserve">Education Administrator</w:t>
      </w:r>
      <w:r>
        <w:t xml:space="preserve">s: 87% cited inefficient student data handling as their top operational challenge.</w:t>
      </w:r>
    </w:p>
    <w:bookmarkEnd w:id="22"/>
    <w:bookmarkStart w:id="23" w:name="iv.-customer-success-metrics"/>
    <w:p>
      <w:pPr>
        <w:pStyle w:val="Heading2"/>
      </w:pPr>
      <w:r>
        <w:t xml:space="preserve">IV. Customer Success Metrics</w:t>
      </w:r>
    </w:p>
    <w:p>
      <w:pPr>
        <w:pStyle w:val="FirstParagraph"/>
      </w:pPr>
      <w:r>
        <w:t xml:space="preserve">Client satisfaction scores for HCMC accounts averaged 4.6/5 (up from 4.1 in Q2). Key success indicators include:</w:t>
      </w:r>
    </w:p>
    <w:p>
      <w:pPr>
        <w:numPr>
          <w:ilvl w:val="0"/>
          <w:numId w:val="1002"/>
        </w:numPr>
        <w:pStyle w:val="Compact"/>
      </w:pPr>
      <w:r>
        <w:rPr>
          <w:bCs/>
          <w:b/>
        </w:rPr>
        <w:t xml:space="preserve">Time-to-Implementation:</w:t>
      </w:r>
      <w:r>
        <w:t xml:space="preserve"> </w:t>
      </w:r>
      <w:r>
        <w:t xml:space="preserve">Reduced average setup from 8 weeks to 3.7 weeks through localized HCMC support teams</w:t>
      </w:r>
    </w:p>
    <w:p>
      <w:pPr>
        <w:numPr>
          <w:ilvl w:val="0"/>
          <w:numId w:val="1002"/>
        </w:numPr>
        <w:pStyle w:val="Compact"/>
      </w:pPr>
      <w:r>
        <w:rPr>
          <w:bCs/>
          <w:b/>
        </w:rPr>
        <w:t xml:space="preserve">ROI Demonstrated:</w:t>
      </w:r>
      <w:r>
        <w:t xml:space="preserve"> </w:t>
      </w:r>
      <w:r>
        <w:t xml:space="preserve">Clients like Saigon Academy reported 41% faster enrollment processing and $22,000 annual administrative cost savings within first quarter post-implementation</w:t>
      </w:r>
    </w:p>
    <w:p>
      <w:pPr>
        <w:numPr>
          <w:ilvl w:val="0"/>
          <w:numId w:val="1002"/>
        </w:numPr>
        <w:pStyle w:val="Compact"/>
      </w:pPr>
      <w:r>
        <w:rPr>
          <w:bCs/>
          <w:b/>
        </w:rPr>
        <w:t xml:space="preserve">Churn Reduction:</w:t>
      </w:r>
      <w:r>
        <w:t xml:space="preserve"> </w:t>
      </w:r>
      <w:r>
        <w:t xml:space="preserve">98% retention rate among HCMC clients—far exceeding the industry average of 76%</w:t>
      </w:r>
    </w:p>
    <w:bookmarkEnd w:id="23"/>
    <w:bookmarkStart w:id="24" w:name="Xa0b0dc791e5a2d597c252f920daaa6056473add"/>
    <w:p>
      <w:pPr>
        <w:pStyle w:val="Heading2"/>
      </w:pPr>
      <w:r>
        <w:t xml:space="preserve">V. HCMC-Specific Challenges &amp; Strategic Responses</w:t>
      </w:r>
    </w:p>
    <w:p>
      <w:pPr>
        <w:pStyle w:val="FirstParagraph"/>
      </w:pPr>
      <w:r>
        <w:t xml:space="preserve">Rapid urbanization in Vietnam Ho Chi Minh City presented unique obstacles, including:</w:t>
      </w:r>
    </w:p>
    <w:p>
      <w:pPr>
        <w:numPr>
          <w:ilvl w:val="0"/>
          <w:numId w:val="1003"/>
        </w:numPr>
        <w:pStyle w:val="Compact"/>
      </w:pPr>
      <w:r>
        <w:rPr>
          <w:bCs/>
          <w:b/>
        </w:rPr>
        <w:t xml:space="preserve">Regulatory Complexity:</w:t>
      </w:r>
      <w:r>
        <w:t xml:space="preserve"> </w:t>
      </w:r>
      <w:r>
        <w:t xml:space="preserve">Navigating Vietnam's Ministry of Education circulars requiring real-time student data reporting. Our HCMC compliance team developed localized templates, reducing client onboarding friction by 65%.</w:t>
      </w:r>
    </w:p>
    <w:p>
      <w:pPr>
        <w:numPr>
          <w:ilvl w:val="0"/>
          <w:numId w:val="1003"/>
        </w:numPr>
        <w:pStyle w:val="Compact"/>
      </w:pPr>
      <w:r>
        <w:rPr>
          <w:bCs/>
          <w:b/>
        </w:rPr>
        <w:t xml:space="preserve">Cultural Adaptation:</w:t>
      </w:r>
      <w:r>
        <w:t xml:space="preserve"> </w:t>
      </w:r>
      <w:r>
        <w:t xml:space="preserve">Initial resistance from traditional school administrators toward digital tools. We countered with "Digital Transformation Workshops" co-hosted by respected local</w:t>
      </w:r>
      <w:r>
        <w:t xml:space="preserve"> </w:t>
      </w:r>
      <w:r>
        <w:rPr>
          <w:bCs/>
          <w:b/>
        </w:rPr>
        <w:t xml:space="preserve">Education Administrator</w:t>
      </w:r>
      <w:r>
        <w:t xml:space="preserve"> </w:t>
      </w:r>
      <w:r>
        <w:t xml:space="preserve">associations (e.g., Ho Chi Minh City School Management Council), resulting in 82% of new clients citing these sessions as pivotal to their decision.</w:t>
      </w:r>
    </w:p>
    <w:p>
      <w:pPr>
        <w:numPr>
          <w:ilvl w:val="0"/>
          <w:numId w:val="1003"/>
        </w:numPr>
        <w:pStyle w:val="Compact"/>
      </w:pPr>
      <w:r>
        <w:rPr>
          <w:bCs/>
          <w:b/>
        </w:rPr>
        <w:t xml:space="preserve">Infrastructure Gaps:</w:t>
      </w:r>
      <w:r>
        <w:t xml:space="preserve"> </w:t>
      </w:r>
      <w:r>
        <w:t xml:space="preserve">Unreliable internet in some districts. We implemented offline-first functionality for our mobile admin app, adopted by 100% of clients in Districts 2 and Binh Chanh.</w:t>
      </w:r>
    </w:p>
    <w:bookmarkEnd w:id="24"/>
    <w:bookmarkStart w:id="25" w:name="vi.-competitive-landscape-analysis"/>
    <w:p>
      <w:pPr>
        <w:pStyle w:val="Heading2"/>
      </w:pPr>
      <w:r>
        <w:t xml:space="preserve">VI. Competitive Landscape Analysis</w:t>
      </w:r>
    </w:p>
    <w:p>
      <w:pPr>
        <w:pStyle w:val="FirstParagraph"/>
      </w:pPr>
      <w:r>
        <w:t xml:space="preserve">In Vietnam Ho Chi Minh City, competitors like EduTech Asia and SchoolSync dominate through low-cost solutions but lack HCMC-specific features. Our edge is threefold:</w:t>
      </w:r>
    </w:p>
    <w:p>
      <w:pPr>
        <w:numPr>
          <w:ilvl w:val="0"/>
          <w:numId w:val="1004"/>
        </w:numPr>
        <w:pStyle w:val="Compact"/>
      </w:pPr>
      <w:r>
        <w:rPr>
          <w:bCs/>
          <w:b/>
        </w:rPr>
        <w:t xml:space="preserve">Hyper-Local Expertise:</w:t>
      </w:r>
      <w:r>
        <w:t xml:space="preserve"> </w:t>
      </w:r>
      <w:r>
        <w:t xml:space="preserve">100% of our HCMC sales team are native Vietnamese speakers with education sector experience</w:t>
      </w:r>
    </w:p>
    <w:p>
      <w:pPr>
        <w:numPr>
          <w:ilvl w:val="0"/>
          <w:numId w:val="1004"/>
        </w:numPr>
        <w:pStyle w:val="Compact"/>
      </w:pPr>
      <w:r>
        <w:rPr>
          <w:bCs/>
          <w:b/>
        </w:rPr>
        <w:t xml:space="preserve">Regulatory Integration:</w:t>
      </w:r>
      <w:r>
        <w:t xml:space="preserve"> </w:t>
      </w:r>
      <w:r>
        <w:t xml:space="preserve">Pre-configured compliance modules for Vietnam's new 2023 Education Law</w:t>
      </w:r>
    </w:p>
    <w:p>
      <w:pPr>
        <w:numPr>
          <w:ilvl w:val="0"/>
          <w:numId w:val="1004"/>
        </w:numPr>
        <w:pStyle w:val="Compact"/>
      </w:pPr>
      <w:r>
        <w:rPr>
          <w:bCs/>
          <w:b/>
        </w:rPr>
        <w:t xml:space="preserve">Tailored Pricing:</w:t>
      </w:r>
      <w:r>
        <w:t xml:space="preserve"> </w:t>
      </w:r>
      <w:r>
        <w:t xml:space="preserve">Tiered subscription models matching HCMC institutions' budget cycles (e.g., payment plans aligned with semester starts)</w:t>
      </w:r>
    </w:p>
    <w:bookmarkEnd w:id="25"/>
    <w:bookmarkStart w:id="26" w:name="X4c1f4fce461cfd9f60311efc961ce908fea826f"/>
    <w:p>
      <w:pPr>
        <w:pStyle w:val="Heading2"/>
      </w:pPr>
      <w:r>
        <w:t xml:space="preserve">VII. Future Strategy for Vietnam Ho Chi Minh City Growth</w:t>
      </w:r>
    </w:p>
    <w:p>
      <w:pPr>
        <w:pStyle w:val="FirstParagraph"/>
      </w:pPr>
      <w:r>
        <w:t xml:space="preserve">Based on Q3 insights, we will implement three priority initiatives:</w:t>
      </w:r>
    </w:p>
    <w:p>
      <w:pPr>
        <w:numPr>
          <w:ilvl w:val="0"/>
          <w:numId w:val="1005"/>
        </w:numPr>
        <w:pStyle w:val="Compact"/>
      </w:pPr>
      <w:r>
        <w:rPr>
          <w:bCs/>
          <w:b/>
        </w:rPr>
        <w:t xml:space="preserve">Expand HCMC "Education Administrator" Partnership Program:</w:t>
      </w:r>
      <w:r>
        <w:t xml:space="preserve"> </w:t>
      </w:r>
      <w:r>
        <w:t xml:space="preserve">Co-create solution development with 10+ local schools through our new Advisory Council (launching Q1 2024), ensuring products solve real HCMC operational challenges.</w:t>
      </w:r>
    </w:p>
    <w:p>
      <w:pPr>
        <w:numPr>
          <w:ilvl w:val="0"/>
          <w:numId w:val="1005"/>
        </w:numPr>
        <w:pStyle w:val="Compact"/>
      </w:pPr>
      <w:r>
        <w:rPr>
          <w:bCs/>
          <w:b/>
        </w:rPr>
        <w:t xml:space="preserve">Leverage Government Initiatives:</w:t>
      </w:r>
      <w:r>
        <w:t xml:space="preserve"> </w:t>
      </w:r>
      <w:r>
        <w:t xml:space="preserve">Align with Vietnam's National Digital Transformation Program by offering subsidized EduAdmin Pro for public schools participating in HCMC's Smart City Education Pilot (target: 50+ institutions by Q2 2024).</w:t>
      </w:r>
    </w:p>
    <w:p>
      <w:pPr>
        <w:numPr>
          <w:ilvl w:val="0"/>
          <w:numId w:val="1005"/>
        </w:numPr>
        <w:pStyle w:val="Compact"/>
      </w:pPr>
      <w:r>
        <w:rPr>
          <w:bCs/>
          <w:b/>
        </w:rPr>
        <w:t xml:space="preserve">Develop Mobile-First Solutions:</w:t>
      </w:r>
      <w:r>
        <w:t xml:space="preserve"> </w:t>
      </w:r>
      <w:r>
        <w:t xml:space="preserve">Create a simplified "EduAdmin Lite" app for campus administrators with limited desktop access, addressing the 68% of HCMC schools using basic smartphones for operations.</w:t>
      </w:r>
    </w:p>
    <w:bookmarkEnd w:id="26"/>
    <w:bookmarkStart w:id="27" w:name="viii.-conclusion"/>
    <w:p>
      <w:pPr>
        <w:pStyle w:val="Heading2"/>
      </w:pPr>
      <w:r>
        <w:t xml:space="preserve">VIII. Conclusion</w:t>
      </w:r>
    </w:p>
    <w:p>
      <w:pPr>
        <w:pStyle w:val="FirstParagraph"/>
      </w:pPr>
      <w:r>
        <w:t xml:space="preserve">This Sales Report confirms Vietnam Ho Chi Minh City as our most promising market for education administration solutions. The extraordinary performance—driven by deep understanding of local</w:t>
      </w:r>
      <w:r>
        <w:t xml:space="preserve"> </w:t>
      </w:r>
      <w:r>
        <w:rPr>
          <w:bCs/>
          <w:b/>
        </w:rPr>
        <w:t xml:space="preserve">Education Administrator</w:t>
      </w:r>
      <w:r>
        <w:t xml:space="preserve"> </w:t>
      </w:r>
      <w:r>
        <w:t xml:space="preserve">needs, cultural intelligence, and regulatory expertise—validates our strategic pivot toward HCMC. As the city accelerates toward its 2030 Smart Education Vision (Vietnam Ministry of Information &amp; Communications), demand for our solutions will intensify. We project 25%+ revenue growth in HCMC for Q4 2023, positioning us to capture over $5M in annual contracts within Vietnam Ho Chi Minh City by end-2024. Our success proves that when technology aligns with local context, sales growth becomes inevitable.</w:t>
      </w:r>
    </w:p>
    <w:p>
      <w:pPr>
        <w:pStyle w:val="BodyText"/>
      </w:pPr>
      <w:r>
        <w:rPr>
          <w:bCs/>
          <w:b/>
        </w:rPr>
        <w:t xml:space="preserve">Prepared By:</w:t>
      </w:r>
      <w:r>
        <w:t xml:space="preserve"> </w:t>
      </w:r>
      <w:r>
        <w:t xml:space="preserve">Anh Nguyen, Head of Sales – Southeast Asia</w:t>
      </w:r>
      <w:r>
        <w:br/>
      </w:r>
      <w:r>
        <w:rPr>
          <w:bCs/>
          <w:b/>
        </w:rPr>
        <w:t xml:space="preserve">Contact:</w:t>
      </w:r>
      <w:r>
        <w:t xml:space="preserve"> </w:t>
      </w:r>
      <w:r>
        <w:t xml:space="preserve">anh.nguyen@educationtech.vn | +84 28 3926 0105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Education Administrator Solutions in Vietnam Ho Chi Minh City</dc:title>
  <dc:creator/>
  <dc:language>en</dc:language>
  <cp:keywords/>
  <dcterms:created xsi:type="dcterms:W3CDTF">2026-07-24T08:39:50Z</dcterms:created>
  <dcterms:modified xsi:type="dcterms:W3CDTF">2026-07-24T08:39:50Z</dcterms:modified>
</cp:coreProperties>
</file>

<file path=docProps/custom.xml><?xml version="1.0" encoding="utf-8"?>
<Properties xmlns="http://schemas.openxmlformats.org/officeDocument/2006/custom-properties" xmlns:vt="http://schemas.openxmlformats.org/officeDocument/2006/docPropsVTypes"/>
</file>