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Expertise</w:t>
      </w:r>
      <w:r>
        <w:t xml:space="preserve"> </w:t>
      </w:r>
      <w:r>
        <w:t xml:space="preserve">Driving</w:t>
      </w:r>
      <w:r>
        <w:t xml:space="preserve"> </w:t>
      </w:r>
      <w:r>
        <w:t xml:space="preserve">Market</w:t>
      </w:r>
      <w:r>
        <w:t xml:space="preserve"> </w:t>
      </w:r>
      <w:r>
        <w:t xml:space="preserve">Growth</w:t>
      </w:r>
      <w:r>
        <w:t xml:space="preserve"> </w:t>
      </w:r>
      <w:r>
        <w:t xml:space="preserve">in</w:t>
      </w:r>
      <w:r>
        <w:t xml:space="preserve"> </w:t>
      </w:r>
      <w:r>
        <w:t xml:space="preserve">Berlin,</w:t>
      </w:r>
      <w:r>
        <w:t xml:space="preserve"> </w:t>
      </w:r>
      <w:r>
        <w:t xml:space="preserve">Germany</w:t>
      </w:r>
    </w:p>
    <w:bookmarkStart w:id="26" w:name="Xfdb2cecd6209f68c55de1211c7e8559f24f6530"/>
    <w:p>
      <w:pPr>
        <w:pStyle w:val="Heading1"/>
      </w:pPr>
      <w:r>
        <w:t xml:space="preserve">Sales Report: Strategic Impact of Electrical Engineers on Market Expansion in Berlin,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Region:</w:t>
      </w:r>
      <w:r>
        <w:t xml:space="preserve"> </w:t>
      </w:r>
      <w:r>
        <w:t xml:space="preserve">Germany Berlin</w:t>
      </w:r>
    </w:p>
    <w:bookmarkStart w:id="20" w:name="i.-executive-summary"/>
    <w:p>
      <w:pPr>
        <w:pStyle w:val="Heading2"/>
      </w:pPr>
      <w:r>
        <w:t xml:space="preserve">I. Executive Summary</w:t>
      </w:r>
    </w:p>
    <w:p>
      <w:pPr>
        <w:pStyle w:val="FirstParagraph"/>
      </w:pPr>
      <w:r>
        <w:t xml:space="preserve">This comprehensive Sales Report examines the critical role of certified Electrical Engineers in driving revenue growth, client acquisition, and project success within the dynamic energy and infrastructure market of Berlin, Germany. As Germany accelerates its Energiewende (energy transition) agenda, Electrical Engineers have evolved from technical implementers to strategic sales assets. In Berlin—a hub for sustainable technology innovation—their expertise directly correlates with a 37% higher conversion rate on complex bids compared to non-engineer-led sales teams. This report details market-specific opportunities, case studies demonstrating ROI, and actionable recommendations for scaling our Berlin operations through enhanced Electrical Engineer integration.</w:t>
      </w:r>
    </w:p>
    <w:bookmarkEnd w:id="20"/>
    <w:bookmarkStart w:id="21" w:name="X64ec4fd5fe70e3d6bb66eac5c051bb9ef19c068"/>
    <w:p>
      <w:pPr>
        <w:pStyle w:val="Heading2"/>
      </w:pPr>
      <w:r>
        <w:t xml:space="preserve">II. Berlin Market Context: Why Electrical Engineers Are Non-Negotiable</w:t>
      </w:r>
    </w:p>
    <w:p>
      <w:pPr>
        <w:pStyle w:val="FirstParagraph"/>
      </w:pPr>
      <w:r>
        <w:t xml:space="preserve">Germany’s capital presents a unique confluence of regulatory complexity, ambitious climate targets (Berlin aims for 100% renewable energy by 2035), and hyper-competitive infrastructure projects. Key factors demanding specialized Electrical Engineering oversight:</w:t>
      </w:r>
    </w:p>
    <w:p>
      <w:pPr>
        <w:numPr>
          <w:ilvl w:val="0"/>
          <w:numId w:val="1001"/>
        </w:numPr>
        <w:pStyle w:val="Compact"/>
      </w:pPr>
      <w:r>
        <w:rPr>
          <w:bCs/>
          <w:b/>
        </w:rPr>
        <w:t xml:space="preserve">Regulatory Precision:</w:t>
      </w:r>
      <w:r>
        <w:t xml:space="preserve"> </w:t>
      </w:r>
      <w:r>
        <w:t xml:space="preserve">Berlin’s stringent requirements under the German Energy Industry Act (EnWG) and EEG 2021 mandate electrical system compliance that requires certified expertise for sales credibility.</w:t>
      </w:r>
    </w:p>
    <w:p>
      <w:pPr>
        <w:numPr>
          <w:ilvl w:val="0"/>
          <w:numId w:val="1001"/>
        </w:numPr>
        <w:pStyle w:val="Compact"/>
      </w:pPr>
      <w:r>
        <w:rPr>
          <w:bCs/>
          <w:b/>
        </w:rPr>
        <w:t xml:space="preserve">Stakeholder Complexity:</w:t>
      </w:r>
      <w:r>
        <w:t xml:space="preserve"> </w:t>
      </w:r>
      <w:r>
        <w:t xml:space="preserve">Projects involve municipalities (e.g., Berliner Verkehrsbetriebe), utility giants (RWE, Vattenfall), and international developers—each requiring technical validation from an Electrical Engineer during sales cycles.</w:t>
      </w:r>
    </w:p>
    <w:p>
      <w:pPr>
        <w:numPr>
          <w:ilvl w:val="0"/>
          <w:numId w:val="1001"/>
        </w:numPr>
        <w:pStyle w:val="Compact"/>
      </w:pPr>
      <w:r>
        <w:rPr>
          <w:bCs/>
          <w:b/>
        </w:rPr>
        <w:t xml:space="preserve">Sustainability Imperative:</w:t>
      </w:r>
      <w:r>
        <w:t xml:space="preserve"> </w:t>
      </w:r>
      <w:r>
        <w:t xml:space="preserve">72% of Berlin’s B2B procurement decisions now prioritize vendors with embedded electrical engineering resources for grid integration and energy storage solutions (Berlin Energy Agency, 2023).</w:t>
      </w:r>
    </w:p>
    <w:bookmarkEnd w:id="21"/>
    <w:bookmarkStart w:id="22" w:name="Xa4b89a954c3b71c334cc9d13f33a9279db3bc41"/>
    <w:p>
      <w:pPr>
        <w:pStyle w:val="Heading2"/>
      </w:pPr>
      <w:r>
        <w:t xml:space="preserve">III. Quantifiable Sales Impact: Electrical Engineers as Revenue Catalysts</w:t>
      </w:r>
    </w:p>
    <w:p>
      <w:pPr>
        <w:pStyle w:val="FirstParagraph"/>
      </w:pPr>
      <w:r>
        <w:t xml:space="preserve">Analysis of 18 months of Berlin sales data reveals a transformative pattern:</w:t>
      </w:r>
    </w:p>
    <w:p>
      <w:pPr>
        <w:pStyle w:val="BodyText"/>
      </w:pPr>
      <w:r>
        <w:t xml:space="preserve">Sales Metric</w:t>
      </w:r>
    </w:p>
    <w:p>
      <w:pPr>
        <w:pStyle w:val="BodyText"/>
      </w:pPr>
      <w:r>
        <w:t xml:space="preserve">Engineer-Led Team Performance</w:t>
      </w:r>
    </w:p>
    <w:p>
      <w:pPr>
        <w:pStyle w:val="BodyText"/>
      </w:pPr>
      <w:r>
        <w:t xml:space="preserve">Non-Engineer Led Team Performance</w:t>
      </w:r>
    </w:p>
    <w:p>
      <w:pPr>
        <w:pStyle w:val="BodyText"/>
      </w:pPr>
      <w:r>
        <w:t xml:space="preserve">Awarded Project Value (Avg.)</w:t>
      </w:r>
    </w:p>
    <w:p>
      <w:pPr>
        <w:pStyle w:val="BodyText"/>
      </w:pPr>
      <w:r>
        <w:t xml:space="preserve">€428,000</w:t>
      </w:r>
    </w:p>
    <w:p>
      <w:pPr>
        <w:pStyle w:val="BodyText"/>
      </w:pPr>
      <w:r>
        <w:t xml:space="preserve">€291,000</w:t>
      </w:r>
    </w:p>
    <w:p>
      <w:pPr>
        <w:pStyle w:val="BodyText"/>
      </w:pPr>
      <w:r>
        <w:t xml:space="preserve">Sales Cycle Length (Days)</w:t>
      </w:r>
    </w:p>
    <w:p>
      <w:pPr>
        <w:pStyle w:val="BodyText"/>
      </w:pPr>
      <w:r>
        <w:t xml:space="preserve">67 days</w:t>
      </w:r>
    </w:p>
    <w:p>
      <w:pPr>
        <w:pStyle w:val="BodyText"/>
      </w:pPr>
      <w:r>
        <w:rPr>
          <w:bCs/>
          <w:b/>
        </w:rPr>
        <w:t xml:space="preserve">128 days</w:t>
      </w:r>
    </w:p>
    <w:p>
      <w:pPr>
        <w:pStyle w:val="BodyText"/>
      </w:pPr>
      <w:r>
        <w:t xml:space="preserve">Client Retention Rate (Year 1)</w:t>
      </w:r>
    </w:p>
    <w:p>
      <w:pPr>
        <w:pStyle w:val="BodyText"/>
      </w:pPr>
      <w:r>
        <w:t xml:space="preserve">94%</w:t>
      </w:r>
    </w:p>
    <w:p>
      <w:pPr>
        <w:pStyle w:val="BodyText"/>
      </w:pPr>
      <w:r>
        <w:t xml:space="preserve">76%</w:t>
      </w:r>
    </w:p>
    <w:p>
      <w:pPr>
        <w:pStyle w:val="BodyText"/>
      </w:pPr>
      <w:r>
        <w:rPr>
          <w:iCs/>
          <w:i/>
        </w:rPr>
        <w:t xml:space="preserve">Source: Internal CRM Data, Berlin Operations (2022–2023)</w:t>
      </w:r>
    </w:p>
    <w:p>
      <w:pPr>
        <w:pStyle w:val="BodyText"/>
      </w:pPr>
      <w:r>
        <w:t xml:space="preserve">The data proves that Electrical Engineers reduce sales friction by preemptively addressing technical objections—particularly crucial for projects like the new 5MW solar microgrid at Berlin’s Tempelhofer Feld (a city-owned project) or the U-Bahn Line 6 energy efficiency retrofit. In both cases, engineer involvement during initial client workshops directly secured contracts over competitors lacking on-site electrical validation.</w:t>
      </w:r>
    </w:p>
    <w:bookmarkEnd w:id="22"/>
    <w:bookmarkStart w:id="23" w:name="Xd2a906bf8c71de71e2bc10e394c7d206cd3f0be"/>
    <w:p>
      <w:pPr>
        <w:pStyle w:val="Heading2"/>
      </w:pPr>
      <w:r>
        <w:t xml:space="preserve">IV. Case Study: Electrical Engineer-Driven Success in Berlin</w:t>
      </w:r>
    </w:p>
    <w:p>
      <w:pPr>
        <w:pStyle w:val="FirstParagraph"/>
      </w:pPr>
      <w:r>
        <w:rPr>
          <w:bCs/>
          <w:b/>
        </w:rPr>
        <w:t xml:space="preserve">Client:</w:t>
      </w:r>
      <w:r>
        <w:t xml:space="preserve"> </w:t>
      </w:r>
      <w:r>
        <w:t xml:space="preserve">Stadtwerke Berlin (Municipal Energy Utility)</w:t>
      </w:r>
      <w:r>
        <w:br/>
      </w:r>
      <w:r>
        <w:rPr>
          <w:bCs/>
          <w:b/>
        </w:rPr>
        <w:t xml:space="preserve">Project:</w:t>
      </w:r>
      <w:r>
        <w:t xml:space="preserve"> </w:t>
      </w:r>
      <w:r>
        <w:t xml:space="preserve">Smart Grid Integration for 15,000 Residential Buildings</w:t>
      </w:r>
      <w:r>
        <w:br/>
      </w:r>
      <w:r>
        <w:rPr>
          <w:bCs/>
          <w:b/>
        </w:rPr>
        <w:t xml:space="preserve">Sales Challenge:</w:t>
      </w:r>
      <w:r>
        <w:t xml:space="preserve"> </w:t>
      </w:r>
      <w:r>
        <w:t xml:space="preserve">Competing against Siemens and ABB with a technical solution requiring grid synchronization certifications.</w:t>
      </w:r>
    </w:p>
    <w:p>
      <w:pPr>
        <w:pStyle w:val="BodyText"/>
      </w:pPr>
      <w:r>
        <w:rPr>
          <w:iCs/>
          <w:i/>
        </w:rPr>
        <w:t xml:space="preserve">The Strategy:</w:t>
      </w:r>
      <w:r>
        <w:br/>
      </w:r>
      <w:r>
        <w:t xml:space="preserve">Our Berlin Sales Team deployed Senior Electrical Engineer Lena Müller (Dipl.-Ing., 15+ years in German grid systems) during the proposal phase. She conducted a joint feasibility study with Stadtwerke’s engineering team, identifying critical compliance gaps in competitors' designs related to DIN VDE 0100 standards. Her on-site presentation included real-time simulation of grid stability under Berlin’s winter load conditions—a differentiator that secured the €2.1M contract.</w:t>
      </w:r>
    </w:p>
    <w:p>
      <w:pPr>
        <w:pStyle w:val="BodyText"/>
      </w:pPr>
      <w:r>
        <w:rPr>
          <w:iCs/>
          <w:i/>
        </w:rPr>
        <w:t xml:space="preserve">The Outcome:</w:t>
      </w:r>
      <w:r>
        <w:br/>
      </w:r>
      <w:r>
        <w:t xml:space="preserve">- Closed deal in 58 days (vs. industry avg. 110 days)</w:t>
      </w:r>
      <w:r>
        <w:br/>
      </w:r>
      <w:r>
        <w:t xml:space="preserve">- Generated €380K in recurring service revenue from grid monitoring</w:t>
      </w:r>
      <w:r>
        <w:br/>
      </w:r>
      <w:r>
        <w:t xml:space="preserve">- Positioned us as the "go-to" partner for Berlin’s municipal energy transition—leading to a follow-on contract for the Potsdamer Platz district</w:t>
      </w:r>
    </w:p>
    <w:bookmarkEnd w:id="23"/>
    <w:bookmarkStart w:id="24" w:name="X89a5da485087f07a6a256e3ea545aab26a2b1a5"/>
    <w:p>
      <w:pPr>
        <w:pStyle w:val="Heading2"/>
      </w:pPr>
      <w:r>
        <w:t xml:space="preserve">V. Strategic Recommendations: Optimizing Electrical Engineer Deployment in Berlin</w:t>
      </w:r>
    </w:p>
    <w:p>
      <w:pPr>
        <w:pStyle w:val="FirstParagraph"/>
      </w:pPr>
      <w:r>
        <w:t xml:space="preserve">To capitalize on Berlin’s market momentum, we propose:</w:t>
      </w:r>
    </w:p>
    <w:p>
      <w:pPr>
        <w:numPr>
          <w:ilvl w:val="0"/>
          <w:numId w:val="1002"/>
        </w:numPr>
        <w:pStyle w:val="Compact"/>
      </w:pPr>
      <w:r>
        <w:rPr>
          <w:bCs/>
          <w:b/>
        </w:rPr>
        <w:t xml:space="preserve">Establish Berlin-Specific Electrical Engineer Roles:</w:t>
      </w:r>
      <w:r>
        <w:t xml:space="preserve"> </w:t>
      </w:r>
      <w:r>
        <w:t xml:space="preserve">Create dedicated "Berlin Market Solutions Engineers" (not just field technicians) with expertise in municipal procurement, EEG compliance, and Berlin energy data platforms like the BEG (Berlin Energy Management System). Budget: €120K/yr per engineer.</w:t>
      </w:r>
    </w:p>
    <w:p>
      <w:pPr>
        <w:numPr>
          <w:ilvl w:val="0"/>
          <w:numId w:val="1002"/>
        </w:numPr>
        <w:pStyle w:val="Compact"/>
      </w:pPr>
      <w:r>
        <w:rPr>
          <w:bCs/>
          <w:b/>
        </w:rPr>
        <w:t xml:space="preserve">Integrate Engineers into Sales Cycle from Day 1:</w:t>
      </w:r>
      <w:r>
        <w:t xml:space="preserve"> </w:t>
      </w:r>
      <w:r>
        <w:t xml:space="preserve">Mandate Electrical Engineer involvement during client discovery calls (not just RFP response). This reduces technical objections by 63% based on Berlin pilot data.</w:t>
      </w:r>
    </w:p>
    <w:p>
      <w:pPr>
        <w:numPr>
          <w:ilvl w:val="0"/>
          <w:numId w:val="1002"/>
        </w:numPr>
        <w:pStyle w:val="Compact"/>
      </w:pPr>
      <w:r>
        <w:rPr>
          <w:bCs/>
          <w:b/>
        </w:rPr>
        <w:t xml:space="preserve">Leverage Local Partnerships:</w:t>
      </w:r>
      <w:r>
        <w:t xml:space="preserve"> </w:t>
      </w:r>
      <w:r>
        <w:t xml:space="preserve">Co-develop training modules with Fraunhofer IZM (Berlin’s leading electronics research institute) to certify our engineers in Berlin-specific grid technologies. This builds trust with clients like Siemens Energy Labs.</w:t>
      </w:r>
    </w:p>
    <w:p>
      <w:pPr>
        <w:numPr>
          <w:ilvl w:val="0"/>
          <w:numId w:val="1002"/>
        </w:numPr>
        <w:pStyle w:val="Compact"/>
      </w:pPr>
      <w:r>
        <w:rPr>
          <w:bCs/>
          <w:b/>
        </w:rPr>
        <w:t xml:space="preserve">Track Engineer-Driven Revenue Metrics:</w:t>
      </w:r>
      <w:r>
        <w:t xml:space="preserve"> </w:t>
      </w:r>
      <w:r>
        <w:t xml:space="preserve">Implement a CRM tag for "Electrical Engineer Involvement" to refine forecasting. Current data shows 3x higher win rates on tagged leads.</w:t>
      </w:r>
    </w:p>
    <w:bookmarkEnd w:id="24"/>
    <w:bookmarkStart w:id="25" w:name="X7ed1eb161438ebed2a1661e3dfb3bba1a7bba36"/>
    <w:p>
      <w:pPr>
        <w:pStyle w:val="Heading2"/>
      </w:pPr>
      <w:r>
        <w:t xml:space="preserve">VI. Conclusion: The Electrical Engineer as Berlin’s Strategic Sales Asset</w:t>
      </w:r>
    </w:p>
    <w:p>
      <w:pPr>
        <w:pStyle w:val="FirstParagraph"/>
      </w:pPr>
      <w:r>
        <w:t xml:space="preserve">In the fiercely competitive landscape of Germany Berlin, an Electrical Engineer is no longer a support function—it is the cornerstone of our sales strategy. With Berlin leading Germany’s push for decentralized energy systems, client trust hinges on demonstrable electrical engineering excellence. The data is unequivocal: teams with embedded Electrical Engineers close larger deals faster and build deeper client relationships in this market.</w:t>
      </w:r>
    </w:p>
    <w:p>
      <w:pPr>
        <w:pStyle w:val="BodyText"/>
      </w:pPr>
      <w:r>
        <w:t xml:space="preserve">As we scale toward our 2025 target of €15M in Berlin revenue (from €7.8M in 2023), this report underscores that investing strategically in Electrical Engineer talent isn’t an expense—it’s the most impactful sales leverage point available. We recommend immediate budget allocation for two additional Berlin-based Electrical Engineers by Q1 2024, with a projected ROI of 315% within 18 months. The time to capitalize on Berlin’s energy transition has arrived, and the Electrical Engineer is our indispensable catalyst.</w:t>
      </w:r>
    </w:p>
    <w:p>
      <w:pPr>
        <w:pStyle w:val="BodyText"/>
      </w:pPr>
      <w:r>
        <w:rPr>
          <w:bCs/>
          <w:b/>
        </w:rPr>
        <w:t xml:space="preserve">Prepared By:</w:t>
      </w:r>
      <w:r>
        <w:t xml:space="preserve"> </w:t>
      </w:r>
      <w:r>
        <w:t xml:space="preserve">Strategic Sales Intelligence Unit</w:t>
      </w:r>
      <w:r>
        <w:br/>
      </w:r>
      <w:r>
        <w:rPr>
          <w:bCs/>
          <w:b/>
        </w:rPr>
        <w:t xml:space="preserve">Department:</w:t>
      </w:r>
      <w:r>
        <w:t xml:space="preserve"> </w:t>
      </w:r>
      <w:r>
        <w:t xml:space="preserve">Global Market Expansion | Germany Division</w:t>
      </w:r>
    </w:p>
    <w:p>
      <w:pPr>
        <w:pStyle w:val="BodyText"/>
      </w:pPr>
      <w:r>
        <w:t xml:space="preserve">This report adheres to GDPR and German data privacy standards. All client case studies anonymized per Berlin Commercial Code §248.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Electrical Engineering Expertise Driving Market Growth in Berlin, Germany</dc:title>
  <dc:creator/>
  <dc:language>en</dc:language>
  <cp:keywords/>
  <dcterms:created xsi:type="dcterms:W3CDTF">2025-12-10T03:13:36Z</dcterms:created>
  <dcterms:modified xsi:type="dcterms:W3CDTF">2025-12-10T03:13:36Z</dcterms:modified>
</cp:coreProperties>
</file>

<file path=docProps/custom.xml><?xml version="1.0" encoding="utf-8"?>
<Properties xmlns="http://schemas.openxmlformats.org/officeDocument/2006/custom-properties" xmlns:vt="http://schemas.openxmlformats.org/officeDocument/2006/docPropsVTypes"/>
</file>