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27" w:name="X73e1883415c12f44e30be50a3ac05e3f3715457"/>
    <w:p>
      <w:pPr>
        <w:pStyle w:val="Heading1"/>
      </w:pPr>
      <w:r>
        <w:t xml:space="preserve">Quarterly Sales Performance Report: Electrical Engineering Services in Indonesia Jakarta</w:t>
      </w:r>
    </w:p>
    <w:p>
      <w:pPr>
        <w:pStyle w:val="FirstParagraph"/>
      </w:pPr>
      <w:r>
        <w:rPr>
          <w:bCs/>
          <w:b/>
        </w:rPr>
        <w:t xml:space="preserve">Prepared For:</w:t>
      </w:r>
      <w:r>
        <w:t xml:space="preserve"> </w:t>
      </w:r>
      <w:r>
        <w:t xml:space="preserve">Executive Leadership Team, PT Teknologi Listrik Nusantara (TLN)</w:t>
      </w:r>
      <w:r>
        <w:br/>
      </w:r>
      <w:r>
        <w:rPr>
          <w:bCs/>
          <w:b/>
        </w:rPr>
        <w:t xml:space="preserve">Date:</w:t>
      </w:r>
      <w:r>
        <w:t xml:space="preserve"> </w:t>
      </w:r>
      <w:r>
        <w:t xml:space="preserve">January 25, 2024</w:t>
      </w:r>
      <w:r>
        <w:br/>
      </w:r>
      <w:r>
        <w:rPr>
          <w:bCs/>
          <w:b/>
        </w:rPr>
        <w:t xml:space="preserve">Reporting Period:</w:t>
      </w:r>
      <w:r>
        <w:t xml:space="preserve"> </w:t>
      </w:r>
      <w:r>
        <w:t xml:space="preserve">October 1, 2023 – December 31, 2023</w:t>
      </w:r>
      <w:r>
        <w:br/>
      </w:r>
      <w:r>
        <w:rPr>
          <w:bCs/>
          <w:b/>
        </w:rPr>
        <w:t xml:space="preserve">Location Focus:</w:t>
      </w:r>
      <w:r>
        <w:t xml:space="preserve"> </w:t>
      </w:r>
      <w:r>
        <w:t xml:space="preserve">Jakarta Metropolitan Area (Greater Jakarta), Indonesia</w:t>
      </w:r>
    </w:p>
    <w:bookmarkStart w:id="20" w:name="i.-executive-summary"/>
    <w:p>
      <w:pPr>
        <w:pStyle w:val="Heading2"/>
      </w:pPr>
      <w:r>
        <w:t xml:space="preserve">I. Executive Summary</w:t>
      </w:r>
    </w:p>
    <w:p>
      <w:pPr>
        <w:pStyle w:val="FirstParagraph"/>
      </w:pPr>
      <w:r>
        <w:t xml:space="preserve">This Sales Report details the exceptional performance of our Electrical Engineering team within the Indonesia Jakarta market during Q4 2023. Despite challenging economic conditions and heightened competition, strategic implementation of technical expertise by our dedicated Electrical Engineers directly contributed to a 18.7% year-over-year increase in service revenue for high-value commercial projects across Jakarta. The success is intrinsically linked to the team's ability to translate complex engineering solutions into clear client value propositions, driving both new business acquisition and repeat contracts in Indonesia's most dynamic urban market.</w:t>
      </w:r>
    </w:p>
    <w:bookmarkEnd w:id="20"/>
    <w:bookmarkStart w:id="21" w:name="X4f33b6189fa54a1fa80eb970acb45de66116a43"/>
    <w:p>
      <w:pPr>
        <w:pStyle w:val="Heading2"/>
      </w:pPr>
      <w:r>
        <w:t xml:space="preserve">II. Electrical Engineer Performance &amp; Sales Impact</w:t>
      </w:r>
    </w:p>
    <w:p>
      <w:pPr>
        <w:pStyle w:val="FirstParagraph"/>
      </w:pPr>
      <w:r>
        <w:t xml:space="preserve">The core driver of this sales growth was the proactive role played by our Senior Electrical Engineers, who functioned not merely as technical advisors but as key strategic sales partners. In Jakarta, where infrastructure demands are intense (including rapid high-rise development in South Jakarta and critical energy projects near Cengkareng), our engineers provided on-site feasibility studies, optimized system designs reducing client operational costs by an average of 12%, and ensured seamless compliance with Indonesia's</w:t>
      </w:r>
      <w:r>
        <w:t xml:space="preserve"> </w:t>
      </w:r>
      <w:r>
        <w:rPr>
          <w:iCs/>
          <w:i/>
        </w:rPr>
        <w:t xml:space="preserve">Peraturan Menteri Energi dan Sumber Daya Mineral (PERMEN ESDM)</w:t>
      </w:r>
      <w:r>
        <w:t xml:space="preserve"> </w:t>
      </w:r>
      <w:r>
        <w:t xml:space="preserve">standards. For instance:</w:t>
      </w:r>
    </w:p>
    <w:p>
      <w:pPr>
        <w:numPr>
          <w:ilvl w:val="0"/>
          <w:numId w:val="1001"/>
        </w:numPr>
        <w:pStyle w:val="Compact"/>
      </w:pPr>
      <w:r>
        <w:rPr>
          <w:bCs/>
          <w:b/>
        </w:rPr>
        <w:t xml:space="preserve">Project: PT Mega Sentral Office Tower (South Jakarta):</w:t>
      </w:r>
      <w:r>
        <w:t xml:space="preserve"> </w:t>
      </w:r>
      <w:r>
        <w:t xml:space="preserve">Electrical Engineer Andi Wijaya identified a 22% efficiency gain in the building's electrical distribution system through smart grid integration. This technical insight directly became the cornerstone of our proposal, securing a $1.8M contract and positioning TLN as the preferred engineering partner for three subsequent projects in Kemang.</w:t>
      </w:r>
    </w:p>
    <w:p>
      <w:pPr>
        <w:numPr>
          <w:ilvl w:val="0"/>
          <w:numId w:val="1001"/>
        </w:numPr>
        <w:pStyle w:val="Compact"/>
      </w:pPr>
      <w:r>
        <w:rPr>
          <w:bCs/>
          <w:b/>
        </w:rPr>
        <w:t xml:space="preserve">Project: Transjakarta Corridor 10 Upgrade:</w:t>
      </w:r>
      <w:r>
        <w:t xml:space="preserve"> </w:t>
      </w:r>
      <w:r>
        <w:t xml:space="preserve">Engineer Rina Suryanti's rapid assessment of PLN grid capacity constraints during monsoon season allowed us to propose a phased implementation plan. This solution prevented potential $350K in delays for the client, resulting in a signed agreement worth $750K and opening doors to Jakarta Transportation Authority (JTA) future tenders.</w:t>
      </w:r>
    </w:p>
    <w:bookmarkEnd w:id="21"/>
    <w:bookmarkStart w:id="22" w:name="Xa04fce4505b8c8be5fd49480c17ae837676236f"/>
    <w:p>
      <w:pPr>
        <w:pStyle w:val="Heading2"/>
      </w:pPr>
      <w:r>
        <w:t xml:space="preserve">III. Jakarta Market Analysis &amp; Strategic Positioning</w:t>
      </w:r>
    </w:p>
    <w:p>
      <w:pPr>
        <w:pStyle w:val="FirstParagraph"/>
      </w:pPr>
      <w:r>
        <w:t xml:space="preserve">Indonesia Jakarta presents a unique sales environment requiring deep local market understanding. Our Electrical Engineers are embedded within the sales cycle from initial client engagement to post-installation support, addressing Jakarta-specific pain points:</w:t>
      </w:r>
    </w:p>
    <w:p>
      <w:pPr>
        <w:numPr>
          <w:ilvl w:val="0"/>
          <w:numId w:val="1002"/>
        </w:numPr>
        <w:pStyle w:val="Compact"/>
      </w:pPr>
      <w:r>
        <w:rPr>
          <w:bCs/>
          <w:b/>
        </w:rPr>
        <w:t xml:space="preserve">Infrastructure Challenges:</w:t>
      </w:r>
      <w:r>
        <w:t xml:space="preserve"> </w:t>
      </w:r>
      <w:r>
        <w:t xml:space="preserve">Frequent power fluctuations and aging grid infrastructure in West Jakarta (e.g., Cibubur) necessitate customized backup solutions. Our engineers developed a modular UPS system prototype, directly cited in 7 of our top 10 proposals this quarter.</w:t>
      </w:r>
    </w:p>
    <w:p>
      <w:pPr>
        <w:numPr>
          <w:ilvl w:val="0"/>
          <w:numId w:val="1002"/>
        </w:numPr>
        <w:pStyle w:val="Compact"/>
      </w:pPr>
      <w:r>
        <w:rPr>
          <w:bCs/>
          <w:b/>
        </w:rPr>
        <w:t xml:space="preserve">Regulatory Navigation:</w:t>
      </w:r>
      <w:r>
        <w:t xml:space="preserve"> </w:t>
      </w:r>
      <w:r>
        <w:t xml:space="preserve">Understanding Jakarta's local building codes (</w:t>
      </w:r>
      <w:r>
        <w:rPr>
          <w:iCs/>
          <w:i/>
        </w:rPr>
        <w:t xml:space="preserve">SNI</w:t>
      </w:r>
      <w:r>
        <w:t xml:space="preserve">) and PLN interconnection requirements is critical. The Electrical Engineering team maintained a 100% compliance rate on all submissions to Jakarta Dinas Perhubungan, accelerating project approval timelines by 35% versus industry average.</w:t>
      </w:r>
    </w:p>
    <w:p>
      <w:pPr>
        <w:numPr>
          <w:ilvl w:val="0"/>
          <w:numId w:val="1002"/>
        </w:numPr>
        <w:pStyle w:val="Compact"/>
      </w:pPr>
      <w:r>
        <w:rPr>
          <w:bCs/>
          <w:b/>
        </w:rPr>
        <w:t xml:space="preserve">Client Trust Building:</w:t>
      </w:r>
      <w:r>
        <w:t xml:space="preserve"> </w:t>
      </w:r>
      <w:r>
        <w:t xml:space="preserve">In Indonesia's business culture, technical credibility fosters trust. Our engineers' ability to explain complex concepts in Bahasa Indonesia (e.g., explaining transformer load balancing during client workshops in Bandung) was pivotal in closing the $2.3M contract with PT Sinar Mandiri, a major retail chain expanding across Jakarta.</w:t>
      </w:r>
    </w:p>
    <w:bookmarkEnd w:id="22"/>
    <w:bookmarkStart w:id="23" w:name="Xa38c034c8726879ed951801dc1c7dd2371c2217"/>
    <w:p>
      <w:pPr>
        <w:pStyle w:val="Heading2"/>
      </w:pPr>
      <w:r>
        <w:t xml:space="preserve">IV. Key Sales Metrics (Indonesia Jakarta Focus)</w:t>
      </w:r>
    </w:p>
    <w:p>
      <w:pPr>
        <w:pStyle w:val="FirstParagraph"/>
      </w:pPr>
      <w:r>
        <w:t xml:space="preserve">Performance Metric</w:t>
      </w:r>
    </w:p>
    <w:p>
      <w:pPr>
        <w:pStyle w:val="BodyText"/>
      </w:pPr>
      <w:r>
        <w:t xml:space="preserve">Q4 2023</w:t>
      </w:r>
    </w:p>
    <w:p>
      <w:pPr>
        <w:pStyle w:val="BodyText"/>
      </w:pPr>
      <w:r>
        <w:t xml:space="preserve">% Change vs Q4 2022</w:t>
      </w:r>
    </w:p>
    <w:p>
      <w:pPr>
        <w:pStyle w:val="BodyText"/>
      </w:pPr>
      <w:r>
        <w:t xml:space="preserve">Total Engineering Service Revenue (Jakarta)</w:t>
      </w:r>
    </w:p>
    <w:p>
      <w:pPr>
        <w:pStyle w:val="BodyText"/>
      </w:pPr>
      <w:r>
        <w:t xml:space="preserve">$4.85M</w:t>
      </w:r>
    </w:p>
    <w:p>
      <w:pPr>
        <w:pStyle w:val="BodyText"/>
      </w:pPr>
      <w:r>
        <w:t xml:space="preserve">+18.7%</w:t>
      </w:r>
    </w:p>
    <w:p>
      <w:pPr>
        <w:pStyle w:val="BodyText"/>
      </w:pPr>
      <w:r>
        <w:t xml:space="preserve">New Client Acquisitions (Jakarta)</w:t>
      </w:r>
    </w:p>
    <w:p>
      <w:pPr>
        <w:pStyle w:val="BodyText"/>
      </w:pPr>
      <w:r>
        <w:t xml:space="preserve">12</w:t>
      </w:r>
    </w:p>
    <w:p>
      <w:pPr>
        <w:pStyle w:val="BodyText"/>
      </w:pPr>
      <w:r>
        <w:t xml:space="preserve">+27% (Driven by Electrical Engineer-led proposals)</w:t>
      </w:r>
    </w:p>
    <w:p>
      <w:pPr>
        <w:pStyle w:val="BodyText"/>
      </w:pPr>
      <w:r>
        <w:t xml:space="preserve">94%</w:t>
      </w:r>
    </w:p>
    <w:p>
      <w:pPr>
        <w:pStyle w:val="BodyText"/>
      </w:pPr>
      <w:r>
        <w:t xml:space="preserve">+8% (Attributed to early electrical system design input)</w:t>
      </w:r>
    </w:p>
    <w:p>
      <w:pPr>
        <w:pStyle w:val="BodyText"/>
      </w:pPr>
      <w:r>
        <w:t xml:space="preserve">89%</w:t>
      </w:r>
    </w:p>
    <w:p>
      <w:pPr>
        <w:pStyle w:val="BodyText"/>
      </w:pPr>
      <w:r>
        <w:t xml:space="preserve">+15% (Linked to Electrical Engineer relationship management)</w:t>
      </w:r>
    </w:p>
    <w:bookmarkEnd w:id="23"/>
    <w:bookmarkStart w:id="24" w:name="X0af0052d13f735fa318fa6e95518461a64ae46d"/>
    <w:p>
      <w:pPr>
        <w:pStyle w:val="Heading2"/>
      </w:pPr>
      <w:r>
        <w:t xml:space="preserve">V. Challenges &amp; Engineering-Driven Solutions in Jakarta</w:t>
      </w:r>
    </w:p>
    <w:p>
      <w:pPr>
        <w:pStyle w:val="FirstParagraph"/>
      </w:pPr>
      <w:r>
        <w:t xml:space="preserve">Operating within Indonesia Jakarta demands constant adaptation. Key challenges and our Electrical Engineers' response include:</w:t>
      </w:r>
    </w:p>
    <w:p>
      <w:pPr>
        <w:numPr>
          <w:ilvl w:val="0"/>
          <w:numId w:val="1003"/>
        </w:numPr>
        <w:pStyle w:val="Compact"/>
      </w:pPr>
      <w:r>
        <w:rPr>
          <w:iCs/>
          <w:i/>
        </w:rPr>
        <w:t xml:space="preserve">Logistics in Congested Urban Areas:</w:t>
      </w:r>
      <w:r>
        <w:t xml:space="preserve"> </w:t>
      </w:r>
      <w:r>
        <w:t xml:space="preserve">Delays due to traffic (e.g., accessing site at Jalan Sudirman during rush hour) were mitigated by engineers utilizing drone-based site surveys, reducing planning time by 50% for the Tanjung Priok Port expansion project.</w:t>
      </w:r>
    </w:p>
    <w:p>
      <w:pPr>
        <w:numPr>
          <w:ilvl w:val="0"/>
          <w:numId w:val="1003"/>
        </w:numPr>
        <w:pStyle w:val="Compact"/>
      </w:pPr>
      <w:r>
        <w:rPr>
          <w:iCs/>
          <w:i/>
        </w:rPr>
        <w:t xml:space="preserve">Power Quality Issues in Older Districts:</w:t>
      </w:r>
      <w:r>
        <w:t xml:space="preserve"> </w:t>
      </w:r>
      <w:r>
        <w:t xml:space="preserve">In Menteng and Senen, engineers designed localized harmonic filters – a service not previously offered by competitors – which became a major differentiator leading to 4 new contracts worth $580K.</w:t>
      </w:r>
    </w:p>
    <w:p>
      <w:pPr>
        <w:numPr>
          <w:ilvl w:val="0"/>
          <w:numId w:val="1003"/>
        </w:numPr>
        <w:pStyle w:val="Compact"/>
      </w:pPr>
      <w:r>
        <w:rPr>
          <w:iCs/>
          <w:i/>
        </w:rPr>
        <w:t xml:space="preserve">Cultural Nuances in Sales Process:</w:t>
      </w:r>
      <w:r>
        <w:t xml:space="preserve"> </w:t>
      </w:r>
      <w:r>
        <w:t xml:space="preserve">Engineers were trained on Jakarta business etiquette (e.g., importance of "sambutan" during client meetings). This cultural competence directly contributed to closing the high-stakes PLN Substation Modernization bid after the initial proposal was deemed "too technical" by a competitor.</w:t>
      </w:r>
    </w:p>
    <w:bookmarkEnd w:id="24"/>
    <w:bookmarkStart w:id="25" w:name="X73fe910a6f216a1b4c7a396c50f65ce88488620"/>
    <w:p>
      <w:pPr>
        <w:pStyle w:val="Heading2"/>
      </w:pPr>
      <w:r>
        <w:t xml:space="preserve">VI. Strategic Recommendations for Q1 2024</w:t>
      </w:r>
    </w:p>
    <w:p>
      <w:pPr>
        <w:pStyle w:val="FirstParagraph"/>
      </w:pPr>
      <w:r>
        <w:t xml:space="preserve">To sustain and grow our market position in Indonesia Jakarta, we recommend:</w:t>
      </w:r>
    </w:p>
    <w:p>
      <w:pPr>
        <w:numPr>
          <w:ilvl w:val="0"/>
          <w:numId w:val="1004"/>
        </w:numPr>
        <w:pStyle w:val="Compact"/>
      </w:pPr>
      <w:r>
        <w:rPr>
          <w:bCs/>
          <w:b/>
        </w:rPr>
        <w:t xml:space="preserve">Expand Electrical Engineer Field Presence:</w:t>
      </w:r>
      <w:r>
        <w:t xml:space="preserve"> </w:t>
      </w:r>
      <w:r>
        <w:t xml:space="preserve">Deploy two additional Electrical Engineers to the East Jakarta hub (Bekasi &amp; Cibubur) to service emerging industrial zones identified by the DKI Jakarta Investment Office. This targets a $2M pipeline opportunity.</w:t>
      </w:r>
    </w:p>
    <w:p>
      <w:pPr>
        <w:numPr>
          <w:ilvl w:val="0"/>
          <w:numId w:val="1004"/>
        </w:numPr>
        <w:pStyle w:val="Compact"/>
      </w:pPr>
      <w:r>
        <w:rPr>
          <w:bCs/>
          <w:b/>
        </w:rPr>
        <w:t xml:space="preserve">Develop "Jakarta-Specific" Engineering Modules:</w:t>
      </w:r>
      <w:r>
        <w:t xml:space="preserve"> </w:t>
      </w:r>
      <w:r>
        <w:t xml:space="preserve">Create pre-packaged technical packages addressing common Jakarta challenges (e.g., "Monsoon-Resilient Electrical Design Toolkit") for faster proposal development and competitive advantage.</w:t>
      </w:r>
    </w:p>
    <w:p>
      <w:pPr>
        <w:numPr>
          <w:ilvl w:val="0"/>
          <w:numId w:val="1004"/>
        </w:numPr>
        <w:pStyle w:val="Compact"/>
      </w:pPr>
      <w:r>
        <w:rPr>
          <w:bCs/>
          <w:b/>
        </w:rPr>
        <w:t xml:space="preserve">Leverage Engineer-Led Workshops:</w:t>
      </w:r>
      <w:r>
        <w:t xml:space="preserve"> </w:t>
      </w:r>
      <w:r>
        <w:t xml:space="preserve">Host quarterly technical workshops in Jakarta for key clients (e.g., at the Indonesia Power Innovation Center), positioning our Electrical Engineers as thought leaders to generate 15+ new qualified leads.</w:t>
      </w:r>
    </w:p>
    <w:bookmarkEnd w:id="25"/>
    <w:bookmarkStart w:id="26" w:name="vii.-conclusion"/>
    <w:p>
      <w:pPr>
        <w:pStyle w:val="Heading2"/>
      </w:pPr>
      <w:r>
        <w:t xml:space="preserve">VII. Conclusion</w:t>
      </w:r>
    </w:p>
    <w:p>
      <w:pPr>
        <w:pStyle w:val="FirstParagraph"/>
      </w:pPr>
      <w:r>
        <w:t xml:space="preserve">This Sales Report unequivocally demonstrates that in the Indonesia Jakarta market, the Electrical Engineer is not a support function but a critical revenue driver. Their technical mastery directly translates into compelling sales propositions, overcoming Jakarta's unique urban challenges and building client trust that converts into sustainable growth. By embedding Electrical Engineers within our core sales strategy—ensuring they possess both deep technical knowledge of electrical systems and nuanced understanding of Jakarta's business ecosystem—we have established TLN as the engineering services partner of choice for major commercial infrastructure projects across Indonesia's capital city. The 18.7% revenue growth in Q4 is a testament to this integrated approach, and our focus remains on scaling this model to capture even greater market share in 2024.</w:t>
      </w:r>
    </w:p>
    <w:p>
      <w:pPr>
        <w:pStyle w:val="BodyText"/>
      </w:pPr>
      <w:r>
        <w:rPr>
          <w:bCs/>
          <w:b/>
        </w:rPr>
        <w:t xml:space="preserve">Prepared By:</w:t>
      </w:r>
      <w:r>
        <w:t xml:space="preserve"> </w:t>
      </w:r>
      <w:r>
        <w:t xml:space="preserve">Rudi Suryadi, Director of Sales &amp; Engineering Strategy</w:t>
      </w:r>
      <w:r>
        <w:br/>
      </w:r>
      <w:r>
        <w:rPr>
          <w:bCs/>
          <w:b/>
        </w:rPr>
        <w:t xml:space="preserve">Contact:</w:t>
      </w:r>
      <w:r>
        <w:t xml:space="preserve"> </w:t>
      </w:r>
      <w:r>
        <w:t xml:space="preserve">r.suryadi@tlngroup.co.id | +62 21 555 8899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Performance Report: Electrical Engineering Services in Indonesia Jakarta</dc:title>
  <dc:creator/>
  <dc:language>en</dc:language>
  <cp:keywords/>
  <dcterms:created xsi:type="dcterms:W3CDTF">2026-07-23T01:26:49Z</dcterms:created>
  <dcterms:modified xsi:type="dcterms:W3CDTF">2026-07-23T01:26:49Z</dcterms:modified>
</cp:coreProperties>
</file>

<file path=docProps/custom.xml><?xml version="1.0" encoding="utf-8"?>
<Properties xmlns="http://schemas.openxmlformats.org/officeDocument/2006/custom-properties" xmlns:vt="http://schemas.openxmlformats.org/officeDocument/2006/docPropsVTypes"/>
</file>