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Israel</w:t>
      </w:r>
      <w:r>
        <w:t xml:space="preserve"> </w:t>
      </w:r>
      <w:r>
        <w:t xml:space="preserve">Tel</w:t>
      </w:r>
      <w:r>
        <w:t xml:space="preserve"> </w:t>
      </w:r>
      <w:r>
        <w:t xml:space="preserve">Aviv</w:t>
      </w:r>
      <w:r>
        <w:t xml:space="preserve"> </w:t>
      </w:r>
      <w:r>
        <w:t xml:space="preserve">Market</w:t>
      </w:r>
    </w:p>
    <w:bookmarkStart w:id="26" w:name="Xa047e3822b3b1ef760e9e700b7eeb2f73340b73"/>
    <w:p>
      <w:pPr>
        <w:pStyle w:val="Heading1"/>
      </w:pPr>
      <w:r>
        <w:t xml:space="preserve">Sales Performance Report: Electrical Engineering Solutions in the Tel Aviv Market</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Regional Sales Leadership, Israel Operations</w:t>
      </w:r>
      <w:r>
        <w:br/>
      </w:r>
      <w:r>
        <w:rPr>
          <w:bCs/>
          <w:b/>
        </w:rPr>
        <w:t xml:space="preserve">Prepared By:</w:t>
      </w:r>
      <w:r>
        <w:t xml:space="preserve"> </w:t>
      </w:r>
      <w:r>
        <w:t xml:space="preserve">Global Sales Intelligence Unit</w:t>
      </w:r>
    </w:p>
    <w:bookmarkStart w:id="20" w:name="executive-summary"/>
    <w:p>
      <w:pPr>
        <w:pStyle w:val="Heading2"/>
      </w:pPr>
      <w:r>
        <w:t xml:space="preserve">Executive Summary</w:t>
      </w:r>
    </w:p>
    <w:p>
      <w:pPr>
        <w:pStyle w:val="FirstParagraph"/>
      </w:pPr>
      <w:r>
        <w:t xml:space="preserve">This comprehensive</w:t>
      </w:r>
      <w:r>
        <w:t xml:space="preserve"> </w:t>
      </w:r>
      <w:r>
        <w:rPr>
          <w:iCs/>
          <w:i/>
        </w:rPr>
        <w:t xml:space="preserve">Sales Report</w:t>
      </w:r>
      <w:r>
        <w:t xml:space="preserve"> </w:t>
      </w:r>
      <w:r>
        <w:t xml:space="preserve">details the performance of our Electrical Engineering solutions across the Tel Aviv metropolitan region for Q3 2024. The Israel Tel Aviv market has emerged as a critical growth engine for our company, driven by accelerated infrastructure modernization, renewable energy adoption, and smart city initiatives. Our</w:t>
      </w:r>
      <w:r>
        <w:t xml:space="preserve"> </w:t>
      </w:r>
      <w:r>
        <w:rPr>
          <w:iCs/>
          <w:i/>
        </w:rPr>
        <w:t xml:space="preserve">Electrical Engineer</w:t>
      </w:r>
      <w:r>
        <w:t xml:space="preserve"> </w:t>
      </w:r>
      <w:r>
        <w:t xml:space="preserve">teams have been instrumental in translating complex technical capabilities into competitive sales propositions, securing a 22% year-over-year revenue increase in the region. This report synthesizes market dynamics, performance metrics, strategic insights, and actionable recommendations specifically tailored to the Tel Aviv ecosystem.</w:t>
      </w:r>
    </w:p>
    <w:bookmarkEnd w:id="20"/>
    <w:bookmarkStart w:id="21" w:name="X2dd4a9590c3cb44d8b2bd46213fbdd97a31481f"/>
    <w:p>
      <w:pPr>
        <w:pStyle w:val="Heading2"/>
      </w:pPr>
      <w:r>
        <w:t xml:space="preserve">Market Analysis: Israel Tel Aviv as a Strategic Hub</w:t>
      </w:r>
    </w:p>
    <w:p>
      <w:pPr>
        <w:pStyle w:val="FirstParagraph"/>
      </w:pPr>
      <w:r>
        <w:t xml:space="preserve">Tel Aviv’s status as Israel’s primary economic and technological center continues to fuel demand for cutting-edge electrical engineering services. The city’s ambitious "Smart City 2030" initiative, coupled with government incentives for solar energy integration (e.g., the National Solar Plan), has created unprecedented opportunities. Local utilities like</w:t>
      </w:r>
      <w:r>
        <w:t xml:space="preserve"> </w:t>
      </w:r>
      <w:r>
        <w:rPr>
          <w:iCs/>
          <w:i/>
        </w:rPr>
        <w:t xml:space="preserve">Israel Electric Corporation (IEC)</w:t>
      </w:r>
      <w:r>
        <w:t xml:space="preserve"> </w:t>
      </w:r>
      <w:r>
        <w:t xml:space="preserve">and private developers are prioritizing grid modernization projects, requiring specialized technical expertise. Our</w:t>
      </w:r>
      <w:r>
        <w:t xml:space="preserve"> </w:t>
      </w:r>
      <w:r>
        <w:rPr>
          <w:iCs/>
          <w:i/>
        </w:rPr>
        <w:t xml:space="preserve">Electrical Engineer</w:t>
      </w:r>
      <w:r>
        <w:t xml:space="preserve"> </w:t>
      </w:r>
      <w:r>
        <w:t xml:space="preserve">team’s deep understanding of Israeli standards—particularly SI 3981 for electrical installations and the Ministry of Energy’s net-zero mandates—is a key differentiator in closing deals. Unlike competitors relying on generic templates, our engineers collaborate directly with Tel Aviv municipal planners to design solutions compliant with local regulations, accelerating project timelines by up to 30%.</w:t>
      </w:r>
    </w:p>
    <w:bookmarkEnd w:id="21"/>
    <w:bookmarkStart w:id="22" w:name="X006872c9aecec12eaa26c5f02b4ef6cef1310fb"/>
    <w:p>
      <w:pPr>
        <w:pStyle w:val="Heading2"/>
      </w:pPr>
      <w:r>
        <w:t xml:space="preserve">Performance Metrics: Tel Aviv Sales Momentum</w:t>
      </w:r>
    </w:p>
    <w:p>
      <w:pPr>
        <w:pStyle w:val="FirstParagraph"/>
      </w:pPr>
      <w:r>
        <w:t xml:space="preserve">Q3 2024 performance in Israel Tel Aviv demonstrates the synergy between technical sales support and market demand:</w:t>
      </w:r>
    </w:p>
    <w:p>
      <w:pPr>
        <w:pStyle w:val="BodyText"/>
      </w:pPr>
      <w:r>
        <w:t xml:space="preserve">Metric</w:t>
      </w:r>
    </w:p>
    <w:p>
      <w:pPr>
        <w:pStyle w:val="BodyText"/>
      </w:pPr>
      <w:r>
        <w:t xml:space="preserve">Q3 2024</w:t>
      </w:r>
    </w:p>
    <w:p>
      <w:pPr>
        <w:pStyle w:val="BodyText"/>
      </w:pPr>
      <w:r>
        <w:t xml:space="preserve">Q3 2023 (YoY)</w:t>
      </w:r>
    </w:p>
    <w:p>
      <w:pPr>
        <w:pStyle w:val="BodyText"/>
      </w:pPr>
      <w:r>
        <w:t xml:space="preserve">Target</w:t>
      </w:r>
    </w:p>
    <w:p>
      <w:pPr>
        <w:pStyle w:val="BodyText"/>
      </w:pPr>
      <w:r>
        <w:t xml:space="preserve">Total Revenue (ILS)</w:t>
      </w:r>
    </w:p>
    <w:p>
      <w:pPr>
        <w:pStyle w:val="BodyText"/>
      </w:pPr>
      <w:r>
        <w:t xml:space="preserve">18.7M</w:t>
      </w:r>
    </w:p>
    <w:p>
      <w:pPr>
        <w:pStyle w:val="BodyText"/>
      </w:pPr>
      <w:r>
        <w:t xml:space="preserve">15.3M</w:t>
      </w:r>
    </w:p>
    <w:p>
      <w:pPr>
        <w:pStyle w:val="BodyText"/>
      </w:pPr>
      <w:r>
        <w:t xml:space="preserve">16.5M</w:t>
      </w:r>
    </w:p>
    <w:p>
      <w:pPr>
        <w:pStyle w:val="BodyText"/>
      </w:pPr>
      <w:r>
        <w:t xml:space="preserve">New Client Acquisitions</w:t>
      </w:r>
    </w:p>
    <w:p>
      <w:pPr>
        <w:pStyle w:val="BodyText"/>
      </w:pPr>
      <w:r>
        <w:t xml:space="preserve">24 (38% increase)</w:t>
      </w:r>
    </w:p>
    <w:p>
      <w:pPr>
        <w:pStyle w:val="BodyText"/>
      </w:pPr>
      <w:r>
        <w:t xml:space="preserve">17</w:t>
      </w:r>
    </w:p>
    <w:p>
      <w:pPr>
        <w:pStyle w:val="BodyText"/>
      </w:pPr>
      <w:r>
        <w:t xml:space="preserve">20</w:t>
      </w:r>
    </w:p>
    <w:p>
      <w:pPr>
        <w:pStyle w:val="BodyText"/>
      </w:pPr>
      <w:r>
        <w:t xml:space="preserve">92%</w:t>
      </w:r>
      <w:r>
        <w:br/>
      </w:r>
      <w:r>
        <w:rPr>
          <w:iCs/>
          <w:i/>
        </w:rPr>
        <w:t xml:space="preserve">Note: Projects with on-site Electrical Engineer involvement achieved 85% faster approval cycles vs. non-engineer-led deals.</w:t>
      </w:r>
    </w:p>
    <w:p>
      <w:pPr>
        <w:pStyle w:val="BodyText"/>
      </w:pPr>
      <w:r>
        <w:t xml:space="preserve">Notable wins include a €4.2M contract with</w:t>
      </w:r>
      <w:r>
        <w:t xml:space="preserve"> </w:t>
      </w:r>
      <w:r>
        <w:rPr>
          <w:iCs/>
          <w:i/>
        </w:rPr>
        <w:t xml:space="preserve">Tel Aviv-Jaffa Municipality</w:t>
      </w:r>
      <w:r>
        <w:t xml:space="preserve"> </w:t>
      </w:r>
      <w:r>
        <w:t xml:space="preserve">for smart street lighting retrofits and a 5-year partnership with</w:t>
      </w:r>
      <w:r>
        <w:t xml:space="preserve"> </w:t>
      </w:r>
      <w:r>
        <w:rPr>
          <w:iCs/>
          <w:i/>
        </w:rPr>
        <w:t xml:space="preserve">Aluminum Israel</w:t>
      </w:r>
      <w:r>
        <w:t xml:space="preserve">, a major Tel Aviv industrial hub, to upgrade their energy management systems. The</w:t>
      </w:r>
      <w:r>
        <w:t xml:space="preserve"> </w:t>
      </w:r>
      <w:r>
        <w:rPr>
          <w:iCs/>
          <w:i/>
        </w:rPr>
        <w:t xml:space="preserve">Electrical Engineer</w:t>
      </w:r>
      <w:r>
        <w:t xml:space="preserve"> </w:t>
      </w:r>
      <w:r>
        <w:t xml:space="preserve">team’s ability to deliver site-specific technical documentation meeting Israeli safety codes was pivotal in securing both deals.</w:t>
      </w:r>
    </w:p>
    <w:bookmarkEnd w:id="22"/>
    <w:bookmarkStart w:id="23" w:name="Xb3af4e0417615af1508a0450c937beb92d46052"/>
    <w:p>
      <w:pPr>
        <w:pStyle w:val="Heading2"/>
      </w:pPr>
      <w:r>
        <w:t xml:space="preserve">Challenges and Opportunities in the Israel Tel Aviv Context</w:t>
      </w:r>
    </w:p>
    <w:p>
      <w:pPr>
        <w:pStyle w:val="FirstParagraph"/>
      </w:pPr>
      <w:r>
        <w:t xml:space="preserve">The market presents nuanced challenges requiring engineering-led solutions. Supply chain disruptions from regional geopolitical tensions have delayed critical components (e.g., IGBT modules), forcing our</w:t>
      </w:r>
      <w:r>
        <w:t xml:space="preserve"> </w:t>
      </w:r>
      <w:r>
        <w:rPr>
          <w:iCs/>
          <w:i/>
        </w:rPr>
        <w:t xml:space="preserve">Electrical Engineer</w:t>
      </w:r>
      <w:r>
        <w:t xml:space="preserve"> </w:t>
      </w:r>
      <w:r>
        <w:t xml:space="preserve">team to rapidly reconfigure designs using locally sourced alternatives compliant with Israeli standards. However, this challenge has spurred innovation: 15% of Q3 projects now utilize 90% domestically manufactured parts, aligning with Israel’s "Local Content" policy and reducing delivery timelines by 25 days.</w:t>
      </w:r>
    </w:p>
    <w:p>
      <w:pPr>
        <w:pStyle w:val="BodyText"/>
      </w:pPr>
      <w:r>
        <w:t xml:space="preserve">Emerging opportunities are equally compelling. Tel Aviv’s push for electric vehicle (EV) infrastructure—evidenced by the city’s plan to install 1,000 public charging stations by 2025—creates a massive pipeline for our electrical solutions. Our</w:t>
      </w:r>
      <w:r>
        <w:t xml:space="preserve"> </w:t>
      </w:r>
      <w:r>
        <w:rPr>
          <w:iCs/>
          <w:i/>
        </w:rPr>
        <w:t xml:space="preserve">Electrical Engineer</w:t>
      </w:r>
      <w:r>
        <w:t xml:space="preserve"> </w:t>
      </w:r>
      <w:r>
        <w:t xml:space="preserve">team is currently finalizing custom designs for EV-ready substations in Tel Aviv’s central business district, leveraging their knowledge of municipal power grid constraints. Additionally, the city’s startup ecosystem (e.g., firms like</w:t>
      </w:r>
      <w:r>
        <w:t xml:space="preserve"> </w:t>
      </w:r>
      <w:r>
        <w:rPr>
          <w:iCs/>
          <w:i/>
        </w:rPr>
        <w:t xml:space="preserve">VoltServer</w:t>
      </w:r>
      <w:r>
        <w:t xml:space="preserve">) demands flexible engineering services for rapid prototyping, a segment where our agile engineer-sales integration model outperforms competitors.</w:t>
      </w:r>
    </w:p>
    <w:bookmarkEnd w:id="23"/>
    <w:bookmarkStart w:id="24" w:name="Xe26207826366d220d3c926dee3277e67c1db476"/>
    <w:p>
      <w:pPr>
        <w:pStyle w:val="Heading2"/>
      </w:pPr>
      <w:r>
        <w:t xml:space="preserve">Strategic Recommendations for Q4 2024 and Beyond</w:t>
      </w:r>
    </w:p>
    <w:p>
      <w:pPr>
        <w:pStyle w:val="FirstParagraph"/>
      </w:pPr>
      <w:r>
        <w:t xml:space="preserve">To capitalize on Tel Aviv’s momentum, we recommend three targeted actions:</w:t>
      </w:r>
    </w:p>
    <w:p>
      <w:pPr>
        <w:numPr>
          <w:ilvl w:val="0"/>
          <w:numId w:val="1001"/>
        </w:numPr>
        <w:pStyle w:val="Compact"/>
      </w:pPr>
      <w:r>
        <w:rPr>
          <w:bCs/>
          <w:b/>
        </w:rPr>
        <w:t xml:space="preserve">Expand Tel Aviv Engineering Co-Location:</w:t>
      </w:r>
      <w:r>
        <w:t xml:space="preserve"> </w:t>
      </w:r>
      <w:r>
        <w:t xml:space="preserve">Establish a permanent engineering hub within the Herzliya-Tel Aviv corridor to reduce response times for site visits. Our data shows that projects with engineers physically present in the city achieve 35% higher customer satisfaction scores.</w:t>
      </w:r>
    </w:p>
    <w:p>
      <w:pPr>
        <w:numPr>
          <w:ilvl w:val="0"/>
          <w:numId w:val="1001"/>
        </w:numPr>
        <w:pStyle w:val="Compact"/>
      </w:pPr>
      <w:r>
        <w:rPr>
          <w:bCs/>
          <w:b/>
        </w:rPr>
        <w:t xml:space="preserve">Leverage Local Certifications:</w:t>
      </w:r>
      <w:r>
        <w:t xml:space="preserve"> </w:t>
      </w:r>
      <w:r>
        <w:t xml:space="preserve">Fast-track our team’s certification under Israel’s</w:t>
      </w:r>
      <w:r>
        <w:t xml:space="preserve"> </w:t>
      </w:r>
      <w:r>
        <w:rPr>
          <w:iCs/>
          <w:i/>
        </w:rPr>
        <w:t xml:space="preserve">Electrical Engineering Council (EEC)</w:t>
      </w:r>
      <w:r>
        <w:t xml:space="preserve"> </w:t>
      </w:r>
      <w:r>
        <w:t xml:space="preserve">framework. This will allow direct compliance oversight, eliminating third-party validation steps that delay 40% of current proposals in Tel Aviv.</w:t>
      </w:r>
    </w:p>
    <w:p>
      <w:pPr>
        <w:numPr>
          <w:ilvl w:val="0"/>
          <w:numId w:val="1001"/>
        </w:numPr>
        <w:pStyle w:val="Compact"/>
      </w:pPr>
      <w:r>
        <w:rPr>
          <w:bCs/>
          <w:b/>
        </w:rPr>
        <w:t xml:space="preserve">Tailor Marketing to Municipal Projects:</w:t>
      </w:r>
      <w:r>
        <w:t xml:space="preserve"> </w:t>
      </w:r>
      <w:r>
        <w:t xml:space="preserve">Develop case studies highlighting Tel Aviv-specific successes (e.g., "How We Modernized the City of Tel Aviv’s Traffic Control Grid") for targeted outreach to municipal departments. Our sales data indicates that 68% of government RFPs now explicitly require evidence of local engineering expertise.</w:t>
      </w:r>
    </w:p>
    <w:bookmarkEnd w:id="24"/>
    <w:bookmarkStart w:id="25" w:name="X144bb9f9f7bd6e73151760c5f52190ef23a1633"/>
    <w:p>
      <w:pPr>
        <w:pStyle w:val="Heading2"/>
      </w:pPr>
      <w:r>
        <w:t xml:space="preserve">Conclusion: Engineering Excellence as a Sales Catalyst</w:t>
      </w:r>
    </w:p>
    <w:p>
      <w:pPr>
        <w:pStyle w:val="FirstParagraph"/>
      </w:pPr>
      <w:r>
        <w:t xml:space="preserve">The Israel Tel Aviv market unequivocally proves that technical depth drives commercial success. Our</w:t>
      </w:r>
      <w:r>
        <w:t xml:space="preserve"> </w:t>
      </w:r>
      <w:r>
        <w:rPr>
          <w:iCs/>
          <w:i/>
        </w:rPr>
        <w:t xml:space="preserve">Electrical Engineer</w:t>
      </w:r>
      <w:r>
        <w:t xml:space="preserve"> </w:t>
      </w:r>
      <w:r>
        <w:t xml:space="preserve">team is not merely supporting sales—it is the catalyst for winning high-value, complex contracts in a region where regulatory compliance and local expertise are non-negotiable. As Tel Aviv accelerates its transition to sustainable urban infrastructure, our integrated approach (combining engineering precision with sales acumen) will remain the cornerstone of our regional dominance. We project Q4 2024 revenue growth of 18-25% in Israel Tel Aviv alone, with the Electrical Engineer team accounting for 75% of this momentum. For a market demanding both innovation and adherence to local standards, our model sets a new benchmark for electrical solutions sales performance.</w:t>
      </w:r>
    </w:p>
    <w:p>
      <w:pPr>
        <w:pStyle w:val="BodyText"/>
      </w:pPr>
      <w:r>
        <w:rPr>
          <w:iCs/>
          <w:i/>
        </w:rPr>
        <w:t xml:space="preserve">Prepared in compliance with all Israeli business reporting standards and Tel Aviv Chamber of Commerce guidelines.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Sales Performance Report: Israel Tel Aviv Market</dc:title>
  <dc:creator/>
  <dc:language>en</dc:language>
  <cp:keywords/>
  <dcterms:created xsi:type="dcterms:W3CDTF">2025-12-11T04:07:27Z</dcterms:created>
  <dcterms:modified xsi:type="dcterms:W3CDTF">2025-12-11T04:07:27Z</dcterms:modified>
</cp:coreProperties>
</file>

<file path=docProps/custom.xml><?xml version="1.0" encoding="utf-8"?>
<Properties xmlns="http://schemas.openxmlformats.org/officeDocument/2006/custom-properties" xmlns:vt="http://schemas.openxmlformats.org/officeDocument/2006/docPropsVTypes"/>
</file>