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Performance</w:t>
      </w:r>
      <w:r>
        <w:t xml:space="preserve"> </w:t>
      </w:r>
      <w:r>
        <w:t xml:space="preserve">in</w:t>
      </w:r>
      <w:r>
        <w:t xml:space="preserve"> </w:t>
      </w:r>
      <w:r>
        <w:t xml:space="preserve">Japan</w:t>
      </w:r>
      <w:r>
        <w:t xml:space="preserve"> </w:t>
      </w:r>
      <w:r>
        <w:t xml:space="preserve">Osaka</w:t>
      </w:r>
      <w:r>
        <w:t xml:space="preserve"> </w:t>
      </w:r>
      <w:r>
        <w:t xml:space="preserve">Market</w:t>
      </w:r>
    </w:p>
    <w:bookmarkStart w:id="27" w:name="Xfc1346dfab3a1568802a536a474460093b556a1"/>
    <w:p>
      <w:pPr>
        <w:pStyle w:val="Heading1"/>
      </w:pPr>
      <w:r>
        <w:t xml:space="preserve">Sales Report: Electrical Engineer Performance &amp; Market Impact in Japan Osaka (Q3 2024)</w:t>
      </w:r>
    </w:p>
    <w:p>
      <w:pPr>
        <w:pStyle w:val="FirstParagraph"/>
      </w:pPr>
      <w:r>
        <w:rPr>
          <w:bCs/>
          <w:b/>
        </w:rPr>
        <w:t xml:space="preserve">Prepared For:</w:t>
      </w:r>
      <w:r>
        <w:t xml:space="preserve"> </w:t>
      </w:r>
      <w:r>
        <w:t xml:space="preserve">Global Sales Leadership, Tokyo Headquarters</w:t>
      </w:r>
      <w:r>
        <w:br/>
      </w:r>
      <w:r>
        <w:rPr>
          <w:bCs/>
          <w:b/>
        </w:rPr>
        <w:t xml:space="preserve">Date:</w:t>
      </w:r>
      <w:r>
        <w:t xml:space="preserve"> </w:t>
      </w:r>
      <w:r>
        <w:t xml:space="preserve">October 26, 2024</w:t>
      </w:r>
      <w:r>
        <w:br/>
      </w:r>
      <w:r>
        <w:rPr>
          <w:bCs/>
          <w:b/>
        </w:rPr>
        <w:t xml:space="preserve">Subject:</w:t>
      </w:r>
      <w:r>
        <w:t xml:space="preserve"> </w:t>
      </w:r>
      <w:r>
        <w:t xml:space="preserve">Strategic Analysis of Electrical Engineer Contributions to Sales Growth in Osaka</w:t>
      </w:r>
    </w:p>
    <w:bookmarkStart w:id="20" w:name="i.-executive-summary"/>
    <w:p>
      <w:pPr>
        <w:pStyle w:val="Heading2"/>
      </w:pPr>
      <w:r>
        <w:t xml:space="preserve">I. Executive Summary</w:t>
      </w:r>
    </w:p>
    <w:p>
      <w:pPr>
        <w:pStyle w:val="FirstParagraph"/>
      </w:pPr>
      <w:r>
        <w:t xml:space="preserve">This report details the critical role of our certified Electrical Engineers in driving sales success across the Japan Osaka market during Q3 2024. As a leading provider of industrial electrical solutions, our Osaka-based engineering team directly contributed to a 18% year-over-year sales increase in key sectors including automotive manufacturing, renewable energy integration, and smart infrastructure projects. The strategic alignment of technical expertise with client needs—particularly within the Osaka business ecosystem—has proven indispensable for securing high-value contracts. This document underscores how the Electrical Engineer function is not merely a support role but a core revenue generator in Japan Osaka's competitive market landscape.</w:t>
      </w:r>
    </w:p>
    <w:bookmarkEnd w:id="20"/>
    <w:bookmarkStart w:id="21" w:name="X3657f152525066d1045c56e0bbe6194b6a2d7da"/>
    <w:p>
      <w:pPr>
        <w:pStyle w:val="Heading2"/>
      </w:pPr>
      <w:r>
        <w:t xml:space="preserve">II. Market Context: Japan Osaka as a Strategic Sales Hub</w:t>
      </w:r>
    </w:p>
    <w:p>
      <w:pPr>
        <w:pStyle w:val="FirstParagraph"/>
      </w:pPr>
      <w:r>
        <w:t xml:space="preserve">Osaka stands as one of Japan’s most dynamic economic centers, housing over 50% of the nation’s industrial electrical equipment manufacturers (including Panasonic, Mitsubishi Electric, and Toshiba affiliates) and serving as the gateway to Kansai's $450B+ manufacturing sector. The city’s aggressive push toward "Sustainable Osaka 2030" has intensified demand for energy-efficient electrical systems, grid modernization, and IoT-integrated infrastructure. Competitors without on-ground Electrical Engineer capabilities struggle to navigate Osaka’s stringent technical compliance standards (JIS C 8914) and client expectations for localized engineering support. Our Sales Report confirms that 76% of closed deals in Osaka this quarter involved direct collaboration between the Electrical Engineer and client technical teams—evidence of how deeply engineering integration drives sales velocity in this market.</w:t>
      </w:r>
    </w:p>
    <w:bookmarkEnd w:id="21"/>
    <w:bookmarkStart w:id="22" w:name="X0691b1b8c361b9a381e6dfd4f364dfae39b9fe2"/>
    <w:p>
      <w:pPr>
        <w:pStyle w:val="Heading2"/>
      </w:pPr>
      <w:r>
        <w:t xml:space="preserve">III. Electrical Engineer: The Sales Catalyst</w:t>
      </w:r>
    </w:p>
    <w:p>
      <w:pPr>
        <w:pStyle w:val="FirstParagraph"/>
      </w:pPr>
      <w:r>
        <w:t xml:space="preserve">The role of the Japan Osaka-based Electrical Engineer has evolved beyond traditional design duties into a frontline sales driver. Key contributions include:</w:t>
      </w:r>
    </w:p>
    <w:p>
      <w:pPr>
        <w:numPr>
          <w:ilvl w:val="0"/>
          <w:numId w:val="1001"/>
        </w:numPr>
        <w:pStyle w:val="Compact"/>
      </w:pPr>
      <w:r>
        <w:rPr>
          <w:bCs/>
          <w:b/>
        </w:rPr>
        <w:t xml:space="preserve">Technical Proposal Development:</w:t>
      </w:r>
      <w:r>
        <w:t xml:space="preserve"> </w:t>
      </w:r>
      <w:r>
        <w:t xml:space="preserve">Engineers co-created 100% of custom electrical system proposals for major clients (e.g., Toyota Mobility Systems, Kansai Electric Power), translating complex technical capabilities into client-specific value propositions. This reduced proposal turnaround time by 35% and increased win rates by 28% compared to non-engineered proposals.</w:t>
      </w:r>
    </w:p>
    <w:p>
      <w:pPr>
        <w:numPr>
          <w:ilvl w:val="0"/>
          <w:numId w:val="1001"/>
        </w:numPr>
        <w:pStyle w:val="Compact"/>
      </w:pPr>
      <w:r>
        <w:rPr>
          <w:bCs/>
          <w:b/>
        </w:rPr>
        <w:t xml:space="preserve">Client Trust Building:</w:t>
      </w:r>
      <w:r>
        <w:t xml:space="preserve"> </w:t>
      </w:r>
      <w:r>
        <w:t xml:space="preserve">During high-stakes negotiations with Osaka City Government for the "Osaka Smart Grid Expansion Project," our Electrical Engineer presented site-specific risk mitigation plans addressing unique urban infrastructure constraints. This directly secured a $12.3M contract—the largest single sale in Osaka history for our company.</w:t>
      </w:r>
    </w:p>
    <w:p>
      <w:pPr>
        <w:numPr>
          <w:ilvl w:val="0"/>
          <w:numId w:val="1001"/>
        </w:numPr>
        <w:pStyle w:val="Compact"/>
      </w:pPr>
      <w:r>
        <w:rPr>
          <w:bCs/>
          <w:b/>
        </w:rPr>
        <w:t xml:space="preserve">Post-Sales Enablement:</w:t>
      </w:r>
      <w:r>
        <w:t xml:space="preserve"> </w:t>
      </w:r>
      <w:r>
        <w:t xml:space="preserve">Engineers conducted on-site training for client maintenance teams, reducing service call escalations by 42% and enabling 9 of the top 10 accounts to purchase annual maintenance contracts (a key sales retention metric).</w:t>
      </w:r>
    </w:p>
    <w:bookmarkEnd w:id="22"/>
    <w:bookmarkStart w:id="23" w:name="Xf39fd2f2bf81bd940f5a3abb3c5fa69a26c7e8e"/>
    <w:p>
      <w:pPr>
        <w:pStyle w:val="Heading2"/>
      </w:pPr>
      <w:r>
        <w:t xml:space="preserve">IV. Sales Performance Data: Osaka-Specific Metrics</w:t>
      </w:r>
    </w:p>
    <w:p>
      <w:pPr>
        <w:pStyle w:val="FirstParagraph"/>
      </w:pPr>
      <w:r>
        <w:t xml:space="preserve">The following table demonstrates the tangible impact of Electrical Engineer involvement on our Japan Osaka sales outcomes: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With Engineer Support</w:t>
            </w:r>
          </w:p>
        </w:tc>
        <w:tc>
          <w:tcPr/>
          <w:p>
            <w:pPr>
              <w:pStyle w:val="Compact"/>
              <w:jc w:val="left"/>
            </w:pPr>
            <w:r>
              <w:t xml:space="preserve">Without Engineer Support</w:t>
            </w:r>
          </w:p>
        </w:tc>
        <w:tc>
          <w:tcPr/>
          <w:p>
            <w:pPr>
              <w:pStyle w:val="Compact"/>
              <w:jc w:val="left"/>
            </w:pPr>
            <w:r>
              <w:t xml:space="preserve">% Improvement</w:t>
            </w:r>
          </w:p>
        </w:tc>
      </w:tr>
      <w:tr>
        <w:tc>
          <w:tcPr/>
          <w:p>
            <w:pPr>
              <w:pStyle w:val="Compact"/>
              <w:jc w:val="left"/>
            </w:pPr>
            <w:r>
              <w:t xml:space="preserve">Average Deal Size (JPY)</w:t>
            </w:r>
          </w:p>
        </w:tc>
        <w:tc>
          <w:tcPr/>
          <w:p>
            <w:pPr>
              <w:pStyle w:val="Compact"/>
              <w:jc w:val="left"/>
            </w:pPr>
            <w:r>
              <w:t xml:space="preserve">8.7M</w:t>
            </w:r>
          </w:p>
        </w:tc>
        <w:tc>
          <w:tcPr/>
          <w:p>
            <w:pPr>
              <w:pStyle w:val="Compact"/>
              <w:jc w:val="left"/>
            </w:pPr>
            <w:r>
              <w:t xml:space="preserve">5.2M</w:t>
            </w:r>
          </w:p>
        </w:tc>
        <w:tc>
          <w:tcPr/>
          <w:p>
            <w:pPr>
              <w:pStyle w:val="Compact"/>
              <w:jc w:val="left"/>
            </w:pPr>
            <w:r>
              <w:t xml:space="preserve">+67%</w:t>
            </w:r>
          </w:p>
        </w:tc>
      </w:tr>
      <w:tr>
        <w:tc>
          <w:tcPr/>
          <w:p>
            <w:pPr>
              <w:pStyle w:val="Compact"/>
              <w:jc w:val="left"/>
            </w:pPr>
            <w:r>
              <w:t xml:space="preserve">Sales Cycle Duration (Days)</w:t>
            </w:r>
          </w:p>
        </w:tc>
        <w:tc>
          <w:tcPr/>
          <w:p>
            <w:pPr>
              <w:pStyle w:val="Compact"/>
              <w:jc w:val="left"/>
            </w:pPr>
            <w:r>
              <w:t xml:space="preserve">43</w:t>
            </w:r>
          </w:p>
        </w:tc>
        <w:tc>
          <w:tcPr/>
          <w:p>
            <w:pPr>
              <w:pStyle w:val="Compact"/>
              <w:jc w:val="left"/>
            </w:pPr>
            <w:r>
              <w:t xml:space="preserve">69</w:t>
            </w:r>
          </w:p>
        </w:tc>
        <w:tc>
          <w:tcPr/>
          <w:p>
            <w:pPr>
              <w:pStyle w:val="Compact"/>
            </w:pPr>
          </w:p>
        </w:tc>
      </w:tr>
      <w:tr>
        <w:tc>
          <w:tcPr/>
          <w:p>
            <w:pPr>
              <w:pStyle w:val="Compact"/>
              <w:jc w:val="left"/>
            </w:pPr>
            <w:r>
              <w:t xml:space="preserve">Cross-Sell Rate to Existing Clients (New Services)</w:t>
            </w:r>
          </w:p>
        </w:tc>
        <w:tc>
          <w:tcPr/>
          <w:p>
            <w:pPr>
              <w:pStyle w:val="Compact"/>
              <w:jc w:val="left"/>
            </w:pPr>
            <w:r>
              <w:t xml:space="preserve">34%</w:t>
            </w:r>
          </w:p>
        </w:tc>
        <w:tc>
          <w:tcPr/>
          <w:p>
            <w:pPr>
              <w:pStyle w:val="Compact"/>
              <w:jc w:val="left"/>
            </w:pPr>
            <w:r>
              <w:t xml:space="preserve">12%</w:t>
            </w:r>
          </w:p>
        </w:tc>
        <w:tc>
          <w:tcPr/>
          <w:p>
            <w:pPr>
              <w:pStyle w:val="Compact"/>
            </w:pPr>
          </w:p>
        </w:tc>
      </w:tr>
      <w:tr>
        <w:tc>
          <w:tcPr/>
          <w:p>
            <w:pPr>
              <w:pStyle w:val="Compact"/>
              <w:jc w:val="left"/>
            </w:pPr>
            <w:r>
              <w:t xml:space="preserve">Total New Accounts Secured (Osaka)</w:t>
            </w:r>
          </w:p>
        </w:tc>
        <w:tc>
          <w:tcPr/>
          <w:p>
            <w:pPr>
              <w:pStyle w:val="Compact"/>
              <w:jc w:val="left"/>
            </w:pPr>
            <w:r>
              <w:t xml:space="preserve">28</w:t>
            </w:r>
          </w:p>
        </w:tc>
        <w:tc>
          <w:tcPr/>
          <w:p>
            <w:pPr>
              <w:pStyle w:val="Compact"/>
              <w:jc w:val="left"/>
            </w:pPr>
            <w:r>
              <w:t xml:space="preserve">11</w:t>
            </w:r>
          </w:p>
        </w:tc>
        <w:tc>
          <w:tcPr/>
          <w:p>
            <w:pPr>
              <w:pStyle w:val="Compact"/>
            </w:pPr>
          </w:p>
        </w:tc>
      </w:tr>
    </w:tbl>
    <w:p>
      <w:pPr>
        <w:pStyle w:val="BodyText"/>
      </w:pPr>
      <w:r>
        <w:t xml:space="preserve">*Data Source: Osaka Sales Database, Q3 2024. All figures converted to JPY at USD/JPY 156.5.</w:t>
      </w:r>
    </w:p>
    <w:bookmarkEnd w:id="23"/>
    <w:bookmarkStart w:id="24" w:name="Xb9b81afea5ce7e04b995d5b164d9cfa264aeff3"/>
    <w:p>
      <w:pPr>
        <w:pStyle w:val="Heading2"/>
      </w:pPr>
      <w:r>
        <w:t xml:space="preserve">V. Cultural &amp; Operational Synergy in Japan Osaka</w:t>
      </w:r>
    </w:p>
    <w:p>
      <w:pPr>
        <w:pStyle w:val="FirstParagraph"/>
      </w:pPr>
      <w:r>
        <w:t xml:space="preserve">Success in the Japan Osaka market hinges on understanding local business culture—a dimension where our Electrical Engineers excel. Unlike generic sales teams, our engineers:</w:t>
      </w:r>
    </w:p>
    <w:p>
      <w:pPr>
        <w:numPr>
          <w:ilvl w:val="0"/>
          <w:numId w:val="1002"/>
        </w:numPr>
        <w:pStyle w:val="Compact"/>
      </w:pPr>
      <w:r>
        <w:t xml:space="preserve">Mastered "Omotenashi" (proactive hospitality) by tailoring technical demos to client cultural preferences (e.g., detailed documentation for Kaisha-shiki meetings).</w:t>
      </w:r>
    </w:p>
    <w:p>
      <w:pPr>
        <w:numPr>
          <w:ilvl w:val="0"/>
          <w:numId w:val="1002"/>
        </w:numPr>
        <w:pStyle w:val="Compact"/>
      </w:pPr>
      <w:r>
        <w:t xml:space="preserve">Adhered to Osaka’s "Kansai Spirit" of pragmatic efficiency—prioritizing cost-effective solutions over complex over-engineering, a key differentiator against foreign competitors.</w:t>
      </w:r>
    </w:p>
    <w:p>
      <w:pPr>
        <w:numPr>
          <w:ilvl w:val="0"/>
          <w:numId w:val="1002"/>
        </w:numPr>
        <w:pStyle w:val="Compact"/>
      </w:pPr>
      <w:r>
        <w:t xml:space="preserve">Navigated regional compliance nuances (e.g., Osaka Prefecture’s energy safety ordinances) that caused 15% of competitor proposals to fail during review.</w:t>
      </w:r>
    </w:p>
    <w:bookmarkEnd w:id="24"/>
    <w:bookmarkStart w:id="25" w:name="Xb4460b06cd412470b962c254f22cdc91207177d"/>
    <w:p>
      <w:pPr>
        <w:pStyle w:val="Heading2"/>
      </w:pPr>
      <w:r>
        <w:t xml:space="preserve">VI. Strategic Recommendations for Japan Osaka Expansion</w:t>
      </w:r>
    </w:p>
    <w:p>
      <w:pPr>
        <w:pStyle w:val="FirstParagraph"/>
      </w:pPr>
      <w:r>
        <w:t xml:space="preserve">Based on Q3 results, we recommend:</w:t>
      </w:r>
    </w:p>
    <w:p>
      <w:pPr>
        <w:numPr>
          <w:ilvl w:val="0"/>
          <w:numId w:val="1003"/>
        </w:numPr>
        <w:pStyle w:val="Compact"/>
      </w:pPr>
      <w:r>
        <w:rPr>
          <w:bCs/>
          <w:b/>
        </w:rPr>
        <w:t xml:space="preserve">Expand Electrical Engineer Headcount by 30% in Osaka:</w:t>
      </w:r>
      <w:r>
        <w:t xml:space="preserve"> </w:t>
      </w:r>
      <w:r>
        <w:t xml:space="preserve">Prioritize hiring Japanese-certified engineers with automotive/renewable energy experience to meet projected 25% sales growth in 2025.</w:t>
      </w:r>
    </w:p>
    <w:p>
      <w:pPr>
        <w:numPr>
          <w:ilvl w:val="0"/>
          <w:numId w:val="1003"/>
        </w:numPr>
        <w:pStyle w:val="Compact"/>
      </w:pPr>
      <w:r>
        <w:rPr>
          <w:bCs/>
          <w:b/>
        </w:rPr>
        <w:t xml:space="preserve">Create "Osaka Engineering Sales Playbook":</w:t>
      </w:r>
      <w:r>
        <w:t xml:space="preserve"> </w:t>
      </w:r>
      <w:r>
        <w:t xml:space="preserve">Codify best practices from our top-performing Electrical Engineers (e.g., how to address client concerns about grid stability during Osaka’s summer typhoon season).</w:t>
      </w:r>
    </w:p>
    <w:p>
      <w:pPr>
        <w:numPr>
          <w:ilvl w:val="0"/>
          <w:numId w:val="1003"/>
        </w:numPr>
        <w:pStyle w:val="Compact"/>
      </w:pPr>
      <w:r>
        <w:rPr>
          <w:bCs/>
          <w:b/>
        </w:rPr>
        <w:t xml:space="preserve">Integrate Engineer Feedback into Product Development:</w:t>
      </w:r>
      <w:r>
        <w:t xml:space="preserve"> </w:t>
      </w:r>
      <w:r>
        <w:t xml:space="preserve">68% of client objections noted by Osaka Electrical Engineers were addressed through rapid R&amp;D adjustments—directly preventing sales loss.</w:t>
      </w:r>
    </w:p>
    <w:bookmarkEnd w:id="25"/>
    <w:bookmarkStart w:id="26" w:name="vii.-conclusion"/>
    <w:p>
      <w:pPr>
        <w:pStyle w:val="Heading2"/>
      </w:pPr>
      <w:r>
        <w:t xml:space="preserve">VII. Conclusion</w:t>
      </w:r>
    </w:p>
    <w:p>
      <w:pPr>
        <w:pStyle w:val="FirstParagraph"/>
      </w:pPr>
      <w:r>
        <w:t xml:space="preserve">The Sales Report for Japan Osaka unequivocally demonstrates that the Electrical Engineer is the linchpin of our commercial success in this market. By embedding technical expertise into every sales interaction—from initial discovery to post-implementation support—we’ve transformed perception of our brand from a supplier to a strategic partner. As Osaka accelerates its infrastructure modernization under the "Osaka Vision 2035" initiative, the role of the Electrical Engineer will only grow more vital. Investing in this function isn’t just operational; it’s our most scalable sales strategy for securing dominance in Japan’s most competitive market. We project a minimum 22% YoY revenue uplift from Osaka by Q4 2025 through expanded Electrical Engineer engagement, directly aligning with our global growth targets.</w:t>
      </w:r>
    </w:p>
    <w:p>
      <w:pPr>
        <w:pStyle w:val="BodyText"/>
      </w:pPr>
      <w:r>
        <w:rPr>
          <w:bCs/>
          <w:b/>
        </w:rPr>
        <w:t xml:space="preserve">Prepared By:</w:t>
      </w:r>
      <w:r>
        <w:t xml:space="preserve"> </w:t>
      </w:r>
      <w:r>
        <w:t xml:space="preserve">Global Sales Operations Team</w:t>
      </w:r>
      <w:r>
        <w:br/>
      </w:r>
      <w:r>
        <w:rPr>
          <w:bCs/>
          <w:b/>
        </w:rPr>
        <w:t xml:space="preserve">Contact:</w:t>
      </w:r>
      <w:r>
        <w:t xml:space="preserve"> </w:t>
      </w:r>
      <w:r>
        <w:t xml:space="preserve">sales.ops@globalengineer.jp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 Performance in Japan Osaka Market</dc:title>
  <dc:creator/>
  <dc:language>en</dc:language>
  <cp:keywords/>
  <dcterms:created xsi:type="dcterms:W3CDTF">2025-12-11T16:09:54Z</dcterms:created>
  <dcterms:modified xsi:type="dcterms:W3CDTF">2025-12-11T16:09:54Z</dcterms:modified>
</cp:coreProperties>
</file>

<file path=docProps/custom.xml><?xml version="1.0" encoding="utf-8"?>
<Properties xmlns="http://schemas.openxmlformats.org/officeDocument/2006/custom-properties" xmlns:vt="http://schemas.openxmlformats.org/officeDocument/2006/docPropsVTypes"/>
</file>