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p>
    <w:bookmarkStart w:id="29" w:name="Xc071e39dab702cdc786ead11fcc336784d65b71"/>
    <w:p>
      <w:pPr>
        <w:pStyle w:val="Heading1"/>
      </w:pPr>
      <w:r>
        <w:t xml:space="preserve">Comprehensive Sales Report: Electrical Engineer Performance Analysis for Malaysia Kuala Lumpur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Southeast Asia Division</w:t>
      </w:r>
      <w:r>
        <w:br/>
      </w:r>
      <w:r>
        <w:rPr>
          <w:bCs/>
          <w:b/>
        </w:rPr>
        <w:t xml:space="preserve">Prepared By:</w:t>
      </w:r>
      <w:r>
        <w:t xml:space="preserve"> </w:t>
      </w:r>
      <w:r>
        <w:t xml:space="preserve">Sales &amp; Engineering Strategy Department</w:t>
      </w:r>
    </w:p>
    <w:bookmarkStart w:id="20" w:name="i.-executive-summary"/>
    <w:p>
      <w:pPr>
        <w:pStyle w:val="Heading2"/>
      </w:pPr>
      <w:r>
        <w:t xml:space="preserve">I. Executive Summary</w:t>
      </w:r>
    </w:p>
    <w:p>
      <w:pPr>
        <w:pStyle w:val="FirstParagraph"/>
      </w:pPr>
      <w:r>
        <w:t xml:space="preserve">This Sales Report provides an in-depth analysis of the critical role played by our Electrical Engineers in driving revenue growth across the Malaysia Kuala Lumpur market. As Malaysia continues its rapid urbanization and infrastructure development, the demand for specialized Electrical Engineering expertise has directly impacted sales performance. Our analysis reveals that strategic deployment of skilled Electrical Engineers in client-facing roles has increased project conversion rates by 32% year-over-year, establishing them as indispensable assets within our Kuala Lumpur operations. This document details market dynamics, sales metrics, and actionable recommendations to capitalize on Malaysia's evolving electrical engineering landscape.</w:t>
      </w:r>
    </w:p>
    <w:bookmarkEnd w:id="20"/>
    <w:bookmarkStart w:id="21" w:name="X5ff393752a436ea819359b0f43fb7439e35340a"/>
    <w:p>
      <w:pPr>
        <w:pStyle w:val="Heading2"/>
      </w:pPr>
      <w:r>
        <w:t xml:space="preserve">II. Market Context: Electrical Engineering in Malaysia Kuala Lumpur</w:t>
      </w:r>
    </w:p>
    <w:p>
      <w:pPr>
        <w:pStyle w:val="FirstParagraph"/>
      </w:pPr>
      <w:r>
        <w:t xml:space="preserve">Kuala Lumpur serves as the economic engine of Malaysia, with the electrical infrastructure sector projected to grow at 7.3% annually through 2025 (Malaysia Ministry of Energy, Science, Technology, Environment and Climate Change). The city's transformation into a Smart City hub—evidenced by projects like KL Sentral redevelopment and the Putrajaya Smart Grid initiative—has created unprecedented demand for Electrical Engineers who understand both technical specifications and sales strategy. In this competitive environment, our Electrical Engineers have become key differentiators: 87% of clients cite engineering expertise as their primary factor in selecting service providers during procurement cycles.</w:t>
      </w:r>
    </w:p>
    <w:bookmarkEnd w:id="21"/>
    <w:bookmarkStart w:id="24" w:name="Xa5935e3056fd31e55ed25316febf013a517b357"/>
    <w:p>
      <w:pPr>
        <w:pStyle w:val="Heading2"/>
      </w:pPr>
      <w:r>
        <w:t xml:space="preserve">III. Sales Performance Analysis by Electrical Engineer Role</w:t>
      </w:r>
    </w:p>
    <w:bookmarkStart w:id="22" w:name="a.-revenue-impact-metrics-q1-q3-2023"/>
    <w:p>
      <w:pPr>
        <w:pStyle w:val="Heading3"/>
      </w:pPr>
      <w:r>
        <w:t xml:space="preserve">A. Revenue Impact Metrics (Q1-Q3 2023)</w:t>
      </w:r>
    </w:p>
    <w:p>
      <w:pPr>
        <w:pStyle w:val="FirstParagraph"/>
      </w:pPr>
      <w:r>
        <w:t xml:space="preserve">Engineer Type</w:t>
      </w:r>
    </w:p>
    <w:p>
      <w:pPr>
        <w:pStyle w:val="BodyText"/>
      </w:pPr>
      <w:r>
        <w:t xml:space="preserve">Project Conversion Rate</w:t>
      </w:r>
    </w:p>
    <w:p>
      <w:pPr>
        <w:pStyle w:val="BodyText"/>
      </w:pPr>
      <w:r>
        <w:t xml:space="preserve">Average Deal Size (MYR)</w:t>
      </w:r>
    </w:p>
    <w:p>
      <w:pPr>
        <w:pStyle w:val="BodyText"/>
      </w:pPr>
      <w:r>
        <w:t xml:space="preserve">Client Retention Rate</w:t>
      </w:r>
    </w:p>
    <w:p>
      <w:pPr>
        <w:pStyle w:val="BodyText"/>
      </w:pPr>
      <w:r>
        <w:t xml:space="preserve">Field-Based Electrical Engineer (KL Local)</w:t>
      </w:r>
    </w:p>
    <w:p>
      <w:pPr>
        <w:pStyle w:val="BodyText"/>
      </w:pPr>
      <w:r>
        <w:t xml:space="preserve">68%</w:t>
      </w:r>
    </w:p>
    <w:p>
      <w:pPr>
        <w:pStyle w:val="BodyText"/>
      </w:pPr>
      <w:r>
        <w:t xml:space="preserve">1,250,000</w:t>
      </w:r>
    </w:p>
    <w:p>
      <w:pPr>
        <w:pStyle w:val="BodyText"/>
      </w:pPr>
      <w:r>
        <w:t xml:space="preserve">94%</w:t>
      </w:r>
    </w:p>
    <w:p>
      <w:pPr>
        <w:pStyle w:val="BodyText"/>
      </w:pPr>
      <w:r>
        <w:t xml:space="preserve">Sales-Embedded Electrical Engineer</w:t>
      </w:r>
    </w:p>
    <w:p>
      <w:pPr>
        <w:pStyle w:val="BodyText"/>
      </w:pPr>
      <w:r>
        <w:t xml:space="preserve">76%</w:t>
      </w:r>
    </w:p>
    <w:p>
      <w:pPr>
        <w:pStyle w:val="BodyText"/>
      </w:pPr>
      <w:r>
        <w:t xml:space="preserve">Total Market Average (Competitors)</w:t>
      </w:r>
    </w:p>
    <w:p>
      <w:pPr>
        <w:pStyle w:val="BodyText"/>
      </w:pPr>
      <w:r>
        <w:t xml:space="preserve">52%</w:t>
      </w:r>
    </w:p>
    <w:p>
      <w:pPr>
        <w:pStyle w:val="BodyText"/>
      </w:pPr>
      <w:r>
        <w:t xml:space="preserve">895,000</w:t>
      </w:r>
    </w:p>
    <w:p>
      <w:pPr>
        <w:pStyle w:val="BodyText"/>
      </w:pPr>
      <w:r>
        <w:t xml:space="preserve">81%</w:t>
      </w:r>
    </w:p>
    <w:p>
      <w:pPr>
        <w:pStyle w:val="BodyText"/>
      </w:pPr>
      <w:r>
        <w:t xml:space="preserve">The data demonstrates that Electrical Engineers with integrated sales competencies—particularly those based in Malaysia Kuala Lumpur—generate significantly higher value. Our KL-based Electrical Engineers achieve 46% higher average deal size due to their ability to translate technical requirements into client benefits, directly addressing the unique challenges of Kuala Lumpur's high-density commercial developments.</w:t>
      </w:r>
    </w:p>
    <w:bookmarkEnd w:id="22"/>
    <w:bookmarkStart w:id="23" w:name="X78a79ea4e0aaffbbc8f555acb66b32ea3d48392"/>
    <w:p>
      <w:pPr>
        <w:pStyle w:val="Heading3"/>
      </w:pPr>
      <w:r>
        <w:t xml:space="preserve">B. Key Sales Drivers in Malaysia Kuala Lumpur</w:t>
      </w:r>
    </w:p>
    <w:p>
      <w:pPr>
        <w:numPr>
          <w:ilvl w:val="0"/>
          <w:numId w:val="1001"/>
        </w:numPr>
        <w:pStyle w:val="Compact"/>
      </w:pPr>
      <w:r>
        <w:rPr>
          <w:bCs/>
          <w:b/>
        </w:rPr>
        <w:t xml:space="preserve">Regulatory Navigation:</w:t>
      </w:r>
      <w:r>
        <w:t xml:space="preserve"> </w:t>
      </w:r>
      <w:r>
        <w:t xml:space="preserve">Electrical Engineers adept at interpreting JTK (Jabatan Tenaga Kerja) regulations and SIRIM certifications accelerate project approvals, reducing client onboarding time by 28% compared to non-technical sales teams.</w:t>
      </w:r>
    </w:p>
    <w:p>
      <w:pPr>
        <w:numPr>
          <w:ilvl w:val="0"/>
          <w:numId w:val="1001"/>
        </w:numPr>
        <w:pStyle w:val="Compact"/>
      </w:pPr>
      <w:r>
        <w:rPr>
          <w:bCs/>
          <w:b/>
        </w:rPr>
        <w:t xml:space="preserve">Technical Trust Building:</w:t>
      </w:r>
      <w:r>
        <w:t xml:space="preserve"> </w:t>
      </w:r>
      <w:r>
        <w:t xml:space="preserve">In KL's competitive tender environment, Electrical Engineers who co-present proposals with sales executives increase win rates by 37% through credible technical demonstrations (e.g., power load analysis for KLCC Tower expansions).</w:t>
      </w:r>
    </w:p>
    <w:p>
      <w:pPr>
        <w:numPr>
          <w:ilvl w:val="0"/>
          <w:numId w:val="1001"/>
        </w:numPr>
        <w:pStyle w:val="Compact"/>
      </w:pPr>
      <w:r>
        <w:rPr>
          <w:bCs/>
          <w:b/>
        </w:rPr>
        <w:t xml:space="preserve">Sustainability Focus:</w:t>
      </w:r>
      <w:r>
        <w:t xml:space="preserve"> </w:t>
      </w:r>
      <w:r>
        <w:t xml:space="preserve">With Malaysia's Green Building Index (GBI) requirements, engineers skilled in energy-efficient systems drive 62% of new solar and EV charging infrastructure sales in Kuala Lumpur.</w:t>
      </w:r>
    </w:p>
    <w:bookmarkEnd w:id="23"/>
    <w:bookmarkEnd w:id="24"/>
    <w:bookmarkStart w:id="25" w:name="X472e2afc2a048d6b140e8aaeaadb7883861bddd"/>
    <w:p>
      <w:pPr>
        <w:pStyle w:val="Heading2"/>
      </w:pPr>
      <w:r>
        <w:t xml:space="preserve">IV. Market-Specific Challenges in Malaysia Kuala Lumpur</w:t>
      </w:r>
    </w:p>
    <w:p>
      <w:pPr>
        <w:pStyle w:val="FirstParagraph"/>
      </w:pPr>
      <w:r>
        <w:t xml:space="preserve">Despite strong performance, our Sales Report identifies critical challenges unique to the Malaysia Kuala Lumpur context:</w:t>
      </w:r>
    </w:p>
    <w:p>
      <w:pPr>
        <w:numPr>
          <w:ilvl w:val="0"/>
          <w:numId w:val="1002"/>
        </w:numPr>
        <w:pStyle w:val="Compact"/>
      </w:pPr>
      <w:r>
        <w:rPr>
          <w:bCs/>
          <w:b/>
        </w:rPr>
        <w:t xml:space="preserve">Cultural Nuances in Client Engagement:</w:t>
      </w:r>
      <w:r>
        <w:t xml:space="preserve"> </w:t>
      </w:r>
      <w:r>
        <w:t xml:space="preserve">41% of sales pipeline delays occur when technical proposals lack contextual understanding of Malay business practices (e.g., hierarchical decision-making at government-linked companies like PETRONAS).</w:t>
      </w:r>
    </w:p>
    <w:p>
      <w:pPr>
        <w:numPr>
          <w:ilvl w:val="0"/>
          <w:numId w:val="1002"/>
        </w:numPr>
        <w:pStyle w:val="Compact"/>
      </w:pPr>
      <w:r>
        <w:rPr>
          <w:bCs/>
          <w:b/>
        </w:rPr>
        <w:t xml:space="preserve">Talent Localization Gap:</w:t>
      </w:r>
      <w:r>
        <w:t xml:space="preserve"> </w:t>
      </w:r>
      <w:r>
        <w:t xml:space="preserve">Only 58% of Electrical Engineers in KL hold full proficiency in Bahasa Malaysia for client interactions, causing misalignment during site inspections at projects like the MRT Line 3 expansion.</w:t>
      </w:r>
    </w:p>
    <w:p>
      <w:pPr>
        <w:numPr>
          <w:ilvl w:val="0"/>
          <w:numId w:val="1002"/>
        </w:numPr>
        <w:pStyle w:val="Compact"/>
      </w:pPr>
      <w:r>
        <w:rPr>
          <w:bCs/>
          <w:b/>
        </w:rPr>
        <w:t xml:space="preserve">Infrastructure Complexity:</w:t>
      </w:r>
      <w:r>
        <w:t xml:space="preserve"> </w:t>
      </w:r>
      <w:r>
        <w:t xml:space="preserve">Kuala Lumpur's aging grid infrastructure requires specialized engineering knowledge—47% of sales leads require engineers with experience in heritage building retrofits (e.g., Sultan Abdul Samad Building modernization).</w:t>
      </w:r>
    </w:p>
    <w:bookmarkEnd w:id="25"/>
    <w:bookmarkStart w:id="26" w:name="Xec2186469eb7497c7b612ec7157ffa5a52b1c08"/>
    <w:p>
      <w:pPr>
        <w:pStyle w:val="Heading2"/>
      </w:pPr>
      <w:r>
        <w:t xml:space="preserve">V. Strategic Recommendations for Enhanced Sales Performance</w:t>
      </w:r>
    </w:p>
    <w:p>
      <w:pPr>
        <w:pStyle w:val="FirstParagraph"/>
      </w:pPr>
      <w:r>
        <w:t xml:space="preserve">Based on our Malaysia Kuala Lumpur market analysis, we propose these targeted actions for the next fiscal year:</w:t>
      </w:r>
    </w:p>
    <w:p>
      <w:pPr>
        <w:numPr>
          <w:ilvl w:val="0"/>
          <w:numId w:val="1003"/>
        </w:numPr>
        <w:pStyle w:val="Compact"/>
      </w:pPr>
      <w:r>
        <w:rPr>
          <w:bCs/>
          <w:b/>
        </w:rPr>
        <w:t xml:space="preserve">Deploy Hybrid Electrical Engineer Roles:</w:t>
      </w:r>
      <w:r>
        <w:t xml:space="preserve"> </w:t>
      </w:r>
      <w:r>
        <w:t xml:space="preserve">Create 15 new positions combining engineering certification (e.g., APMG, IET) with sales training. Prioritize candidates with proven experience in KL's industrial zones (Setia Alam, Cyberjaya) to leverage local network advantages.</w:t>
      </w:r>
    </w:p>
    <w:p>
      <w:pPr>
        <w:numPr>
          <w:ilvl w:val="0"/>
          <w:numId w:val="1003"/>
        </w:numPr>
        <w:pStyle w:val="Compact"/>
      </w:pPr>
      <w:r>
        <w:rPr>
          <w:bCs/>
          <w:b/>
        </w:rPr>
        <w:t xml:space="preserve">Develop Malaysia-Specific Technical Playbooks:</w:t>
      </w:r>
      <w:r>
        <w:t xml:space="preserve"> </w:t>
      </w:r>
      <w:r>
        <w:t xml:space="preserve">Create a "KL Electrical Sales Toolkit" including:</w:t>
      </w:r>
    </w:p>
    <w:p>
      <w:pPr>
        <w:numPr>
          <w:ilvl w:val="1"/>
          <w:numId w:val="1004"/>
        </w:numPr>
        <w:pStyle w:val="Compact"/>
      </w:pPr>
      <w:r>
        <w:t xml:space="preserve">Certification mapping for JTK/SIRIM requirements</w:t>
      </w:r>
    </w:p>
    <w:p>
      <w:pPr>
        <w:numPr>
          <w:ilvl w:val="1"/>
          <w:numId w:val="1004"/>
        </w:numPr>
        <w:pStyle w:val="Compact"/>
      </w:pPr>
      <w:r>
        <w:t xml:space="preserve">Tender response templates for PKR (Public Works Department) projects</w:t>
      </w:r>
    </w:p>
    <w:p>
      <w:pPr>
        <w:numPr>
          <w:ilvl w:val="1"/>
          <w:numId w:val="1004"/>
        </w:numPr>
        <w:pStyle w:val="Compact"/>
      </w:pPr>
      <w:r>
        <w:t xml:space="preserve">Cultural engagement protocols for Malay business contexts</w:t>
      </w:r>
    </w:p>
    <w:p>
      <w:pPr>
        <w:numPr>
          <w:ilvl w:val="0"/>
          <w:numId w:val="1003"/>
        </w:numPr>
        <w:pStyle w:val="Compact"/>
      </w:pPr>
      <w:r>
        <w:rPr>
          <w:bCs/>
          <w:b/>
        </w:rPr>
        <w:t xml:space="preserve">Invest in Localized Language Training:</w:t>
      </w:r>
      <w:r>
        <w:t xml:space="preserve"> </w:t>
      </w:r>
      <w:r>
        <w:t xml:space="preserve">Mandate Bahasa Malaysia proficiency certification for all Electrical Engineers serving KL clients, with completion tied to 15% of sales bonus structure.</w:t>
      </w:r>
    </w:p>
    <w:p>
      <w:pPr>
        <w:numPr>
          <w:ilvl w:val="0"/>
          <w:numId w:val="1003"/>
        </w:numPr>
        <w:pStyle w:val="Compact"/>
      </w:pPr>
      <w:r>
        <w:rPr>
          <w:bCs/>
          <w:b/>
        </w:rPr>
        <w:t xml:space="preserve">Leverage Smart City Initiatives:</w:t>
      </w:r>
      <w:r>
        <w:t xml:space="preserve"> </w:t>
      </w:r>
      <w:r>
        <w:t xml:space="preserve">Target the RM4.2 billion Kuala Lumpur Smart City Fund by developing Electrical Engineer-led solutions for IoT-enabled street lighting and grid management—directly aligning with the city's 2030 Vision.</w:t>
      </w:r>
    </w:p>
    <w:bookmarkEnd w:id="26"/>
    <w:bookmarkStart w:id="27" w:name="X82ee3c120e1335f4022a101ed4753732af8f403"/>
    <w:p>
      <w:pPr>
        <w:pStyle w:val="Heading2"/>
      </w:pPr>
      <w:r>
        <w:t xml:space="preserve">VI. Conclusion: Electrical Engineer as Strategic Sales Asset</w:t>
      </w:r>
    </w:p>
    <w:p>
      <w:pPr>
        <w:pStyle w:val="FirstParagraph"/>
      </w:pPr>
      <w:r>
        <w:t xml:space="preserve">This Sales Report conclusively demonstrates that the Electrical Engineer is not merely a technical resource but the central pillar of our sales strategy in Malaysia Kuala Lumpur. In a market where infrastructure projects are increasingly complex and regulation-driven, our engineers bridge the gap between technical capability and commercial opportunity. As Malaysia accelerates its digital transformation—with Kuala Lumpur as the epicenter—the demand for Electrical Engineers who can translate engineering excellence into revenue will only intensify.</w:t>
      </w:r>
    </w:p>
    <w:p>
      <w:pPr>
        <w:pStyle w:val="BodyText"/>
      </w:pPr>
      <w:r>
        <w:t xml:space="preserve">Our projections indicate that implementing these recommendations will capture an additional RM18.7 million in sales within KL by Q4 2024, representing a 23% market share growth in the electrical services sector. Most critically, we are positioning our Electrical Engineers as trusted advisors—not just service providers—thereby establishing long-term relationships that ensure sustainable growth across Malaysia's most dynamic market. The future of sales performance in Kuala Lumpur will be defined by engineering expertise; this Sales Report confirms that investing in the Electrical Engineer role is the highest-impact strategic decision for our Malaysia operations.</w:t>
      </w:r>
    </w:p>
    <w:bookmarkEnd w:id="27"/>
    <w:bookmarkStart w:id="28" w:name="vii.-appendices"/>
    <w:p>
      <w:pPr>
        <w:pStyle w:val="Heading2"/>
      </w:pPr>
      <w:r>
        <w:t xml:space="preserve">VII. Appendices</w:t>
      </w:r>
    </w:p>
    <w:p>
      <w:pPr>
        <w:numPr>
          <w:ilvl w:val="0"/>
          <w:numId w:val="1005"/>
        </w:numPr>
        <w:pStyle w:val="Compact"/>
      </w:pPr>
      <w:r>
        <w:t xml:space="preserve">Appendix A: Top 10 KL Client Projects Led by Electrical Engineers (Q3 2023)</w:t>
      </w:r>
    </w:p>
    <w:p>
      <w:pPr>
        <w:numPr>
          <w:ilvl w:val="0"/>
          <w:numId w:val="1005"/>
        </w:numPr>
        <w:pStyle w:val="Compact"/>
      </w:pPr>
      <w:r>
        <w:t xml:space="preserve">Appendix B: Competitive Analysis of Electrical Engineering Sales Capabilities (KL Market)</w:t>
      </w:r>
    </w:p>
    <w:p>
      <w:pPr>
        <w:numPr>
          <w:ilvl w:val="0"/>
          <w:numId w:val="1005"/>
        </w:numPr>
        <w:pStyle w:val="Compact"/>
      </w:pPr>
      <w:r>
        <w:t xml:space="preserve">Appendix C: Malaysia Ministry of Energy Infrastructure Development Roadmap 2024-2030</w:t>
      </w:r>
    </w:p>
    <w:p>
      <w:pPr>
        <w:pStyle w:val="FirstParagraph"/>
      </w:pPr>
      <w:r>
        <w:rPr>
          <w:bCs/>
          <w:b/>
        </w:rPr>
        <w:t xml:space="preserve">Confidential:</w:t>
      </w:r>
      <w:r>
        <w:t xml:space="preserve"> </w:t>
      </w:r>
      <w:r>
        <w:t xml:space="preserve">This report contains proprietary sales and market analysis for Malaysia Kuala Lumpur operations. Distribution restricted to authorized personnel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Performance Report: Malaysia Kuala Lumpur Market</dc:title>
  <dc:creator/>
  <dc:language>en</dc:language>
  <cp:keywords/>
  <dcterms:created xsi:type="dcterms:W3CDTF">2026-07-21T05:18:03Z</dcterms:created>
  <dcterms:modified xsi:type="dcterms:W3CDTF">2026-07-21T05:18:03Z</dcterms:modified>
</cp:coreProperties>
</file>

<file path=docProps/custom.xml><?xml version="1.0" encoding="utf-8"?>
<Properties xmlns="http://schemas.openxmlformats.org/officeDocument/2006/custom-properties" xmlns:vt="http://schemas.openxmlformats.org/officeDocument/2006/docPropsVTypes"/>
</file>