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Support</w:t>
      </w:r>
      <w:r>
        <w:t xml:space="preserve"> </w:t>
      </w:r>
      <w:r>
        <w:t xml:space="preserve">Driving</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ed78c88d89802e4a3b7e45300250554fb4e63a1"/>
    <w:p>
      <w:pPr>
        <w:pStyle w:val="Heading1"/>
      </w:pPr>
      <w:r>
        <w:t xml:space="preserve">Sales Report: Strategic Impact of Electrical Engineering Excellence in Riyadh, Saudi Arabia Market</w:t>
      </w:r>
    </w:p>
    <w:bookmarkStart w:id="20" w:name="executive-summary"/>
    <w:p>
      <w:pPr>
        <w:pStyle w:val="Heading2"/>
      </w:pPr>
      <w:r>
        <w:t xml:space="preserve">Executive Summary</w:t>
      </w:r>
    </w:p>
    <w:p>
      <w:pPr>
        <w:pStyle w:val="FirstParagraph"/>
      </w:pPr>
      <w:r>
        <w:t xml:space="preserve">This Sales Report details the critical role of our dedicated Electrical Engineer within the commercial sales division, specifically focused on accelerating business growth and securing high-value contracts across Riyadh and the broader Kingdom of Saudi Arabia. In alignment with Vision 2030’s emphasis on infrastructure modernization, advanced energy solutions, and sustainable development, this report demonstrates how technical expertise directly translates into enhanced sales performance, client trust, and market leadership in one of the world's most dynamic construction hubs: Riyadh.</w:t>
      </w:r>
    </w:p>
    <w:bookmarkEnd w:id="20"/>
    <w:bookmarkStart w:id="21" w:name="X71cbb11328310b53030d796ccb0c7379ae6623a"/>
    <w:p>
      <w:pPr>
        <w:pStyle w:val="Heading2"/>
      </w:pPr>
      <w:r>
        <w:t xml:space="preserve">Market Context: Riyadh as Saudi Arabia's Engine of Growth</w:t>
      </w:r>
    </w:p>
    <w:p>
      <w:pPr>
        <w:pStyle w:val="FirstParagraph"/>
      </w:pPr>
      <w:r>
        <w:t xml:space="preserve">Riyadh serves as the undisputed economic and administrative heart of Saudi Arabia. The city is undergoing unprecedented transformation driven by Vision 2030, with massive investments flowing into smart cities (e.g., Qiddiya, Diriyah Gate), industrial parks, mega-malls, hospitality complexes, and renewable energy projects. This environment creates intense demand for specialized electrical engineering services—from complex power distribution systems and intelligent building management to solar integration and grid compliance. Our Sales Report identifies that 78% of new commercial bids in Riyadh now require deep technical validation from qualified Electrical Engineers at the pre-sales stage, making this role indispensable for competitive differentiation.</w:t>
      </w:r>
    </w:p>
    <w:bookmarkEnd w:id="21"/>
    <w:bookmarkStart w:id="22" w:name="X9559553e4baca61249535335f40388097c1b096"/>
    <w:p>
      <w:pPr>
        <w:pStyle w:val="Heading2"/>
      </w:pPr>
      <w:r>
        <w:t xml:space="preserve">The Strategic Value of the Electrical Engineer in Sales Execution</w:t>
      </w:r>
    </w:p>
    <w:p>
      <w:pPr>
        <w:pStyle w:val="FirstParagraph"/>
      </w:pPr>
      <w:r>
        <w:t xml:space="preserve">Unlike traditional engineering roles confined to post-sale delivery, our Electrical Engineer operates as a core sales enablement asset. Key contributions include:</w:t>
      </w:r>
    </w:p>
    <w:p>
      <w:pPr>
        <w:numPr>
          <w:ilvl w:val="0"/>
          <w:numId w:val="1001"/>
        </w:numPr>
        <w:pStyle w:val="Compact"/>
      </w:pPr>
      <w:r>
        <w:rPr>
          <w:bCs/>
          <w:b/>
        </w:rPr>
        <w:t xml:space="preserve">Technical Bid Development:</w:t>
      </w:r>
      <w:r>
        <w:t xml:space="preserve"> </w:t>
      </w:r>
      <w:r>
        <w:t xml:space="preserve">The engineer collaborates with sales teams from the initial client engagement phase, ensuring proposals address technical nuances specific to Saudi standards (SASO, SBC - Saudi Building Code) and project scope. This reduces costly rework and rejection rates by 35% compared to non-engineered bids.</w:t>
      </w:r>
    </w:p>
    <w:p>
      <w:pPr>
        <w:numPr>
          <w:ilvl w:val="0"/>
          <w:numId w:val="1001"/>
        </w:numPr>
        <w:pStyle w:val="Compact"/>
      </w:pPr>
      <w:r>
        <w:rPr>
          <w:bCs/>
          <w:b/>
        </w:rPr>
        <w:t xml:space="preserve">Client Trust Building:</w:t>
      </w:r>
      <w:r>
        <w:t xml:space="preserve"> </w:t>
      </w:r>
      <w:r>
        <w:t xml:space="preserve">In Riyadh's relationship-driven market, the engineer's presence during client presentations (e.g., at King Abdullah Financial District or Al Olaya developments) validates our technical credibility. Clients consistently cite this as a decisive factor in choosing us over competitors lacking on-site engineering support.</w:t>
      </w:r>
    </w:p>
    <w:p>
      <w:pPr>
        <w:numPr>
          <w:ilvl w:val="0"/>
          <w:numId w:val="1001"/>
        </w:numPr>
        <w:pStyle w:val="Compact"/>
      </w:pPr>
      <w:r>
        <w:rPr>
          <w:bCs/>
          <w:b/>
        </w:rPr>
        <w:t xml:space="preserve">Compliance &amp; Risk Mitigation:</w:t>
      </w:r>
      <w:r>
        <w:t xml:space="preserve"> </w:t>
      </w:r>
      <w:r>
        <w:t xml:space="preserve">Understanding Saudi regulatory frameworks is non-negotiable. The Electrical Engineer ensures all proposals meet SBCA (Saudi Building Code Authority) requirements and utility grid connection standards (e.g., SEC, Saudi Electricity Company), eliminating legal and operational risks that derail deals.</w:t>
      </w:r>
    </w:p>
    <w:p>
      <w:pPr>
        <w:numPr>
          <w:ilvl w:val="0"/>
          <w:numId w:val="1001"/>
        </w:numPr>
        <w:pStyle w:val="Compact"/>
      </w:pPr>
      <w:r>
        <w:rPr>
          <w:bCs/>
          <w:b/>
        </w:rPr>
        <w:t xml:space="preserve">Competitive Differentiation:</w:t>
      </w:r>
      <w:r>
        <w:t xml:space="preserve"> </w:t>
      </w:r>
      <w:r>
        <w:t xml:space="preserve">During a recent bid for a $12M Riyadh hospitality complex, the engineer identified an innovative LED lighting integration strategy aligned with Vision 2030’s energy efficiency goals. This solution reduced client operational costs by 22%, directly winning the contract against two larger international firms.</w:t>
      </w:r>
    </w:p>
    <w:bookmarkEnd w:id="22"/>
    <w:bookmarkStart w:id="23" w:name="X42fd59cbfd37e049857021d6b7a0da52a0207cc"/>
    <w:p>
      <w:pPr>
        <w:pStyle w:val="Heading2"/>
      </w:pPr>
      <w:r>
        <w:t xml:space="preserve">Quantifiable Sales Impact in Riyadh (Q1-Q3 2024)</w:t>
      </w:r>
    </w:p>
    <w:p>
      <w:pPr>
        <w:pStyle w:val="FirstParagraph"/>
      </w:pPr>
      <w:r>
        <w:t xml:space="preserve">This report substantiates the Electrical Engineer’s direct contribution to revenue growth through hard metrics:</w:t>
      </w:r>
    </w:p>
    <w:p>
      <w:pPr>
        <w:pStyle w:val="BodyText"/>
      </w:pPr>
      <w:r>
        <w:t xml:space="preserve">Performance Metric</w:t>
      </w:r>
    </w:p>
    <w:p>
      <w:pPr>
        <w:pStyle w:val="BodyText"/>
      </w:pPr>
      <w:r>
        <w:t xml:space="preserve">Pre-Engineer Support (2023)</w:t>
      </w:r>
    </w:p>
    <w:p>
      <w:pPr>
        <w:pStyle w:val="BodyText"/>
      </w:pPr>
      <w:r>
        <w:t xml:space="preserve">Post-Engineer Integration (Q1-Q3 2024)</w:t>
      </w:r>
    </w:p>
    <w:p>
      <w:pPr>
        <w:pStyle w:val="BodyText"/>
      </w:pPr>
      <w:r>
        <w:t xml:space="preserve">Improvement</w:t>
      </w:r>
    </w:p>
    <w:p>
      <w:pPr>
        <w:pStyle w:val="BodyText"/>
      </w:pPr>
      <w:r>
        <w:t xml:space="preserve">Sales Conversion Rate on Technical Bids</w:t>
      </w:r>
    </w:p>
    <w:p>
      <w:pPr>
        <w:pStyle w:val="BodyText"/>
      </w:pPr>
      <w:r>
        <w:t xml:space="preserve">58%</w:t>
      </w:r>
    </w:p>
    <w:p>
      <w:pPr>
        <w:pStyle w:val="BodyText"/>
      </w:pPr>
      <w:r>
        <w:t xml:space="preserve">81%</w:t>
      </w:r>
    </w:p>
    <w:p>
      <w:pPr>
        <w:pStyle w:val="BodyText"/>
      </w:pPr>
      <w:r>
        <w:t xml:space="preserve">+23%</w:t>
      </w:r>
    </w:p>
    <w:p>
      <w:pPr>
        <w:pStyle w:val="BodyText"/>
      </w:pPr>
      <w:r>
        <w:t xml:space="preserve">Avg. Proposal Turnaround Time (Riyadh Projects)</w:t>
      </w:r>
    </w:p>
    <w:p>
      <w:pPr>
        <w:pStyle w:val="BodyText"/>
      </w:pPr>
      <w:r>
        <w:t xml:space="preserve">14 Days</w:t>
      </w:r>
    </w:p>
    <w:p>
      <w:pPr>
        <w:pStyle w:val="BodyText"/>
      </w:pPr>
      <w:r>
        <w:t xml:space="preserve">7 Days</w:t>
      </w:r>
    </w:p>
    <w:p>
      <w:pPr>
        <w:pStyle w:val="BodyText"/>
      </w:pPr>
      <w:r>
        <w:br/>
      </w:r>
    </w:p>
    <w:p>
      <w:pPr>
        <w:pStyle w:val="BodyText"/>
      </w:pPr>
      <w:r>
        <w:t xml:space="preserve">Furthermore, the engineer facilitated 12 new client engagements in Q3 alone, including two major contracts with Riyadh-based real estate developers (Al-Abdulaziz Group and Al-Howaila Development) valued at $8.5M combined. These deals directly resulted from technical workshops led by the Electrical Engineer addressing specific challenges in district cooling systems—a key priority for Riyadh's urban expansion.</w:t>
      </w:r>
    </w:p>
    <w:bookmarkEnd w:id="23"/>
    <w:bookmarkStart w:id="24" w:name="overcoming-regional-challenges"/>
    <w:p>
      <w:pPr>
        <w:pStyle w:val="Heading2"/>
      </w:pPr>
      <w:r>
        <w:t xml:space="preserve">Overcoming Regional Challenges</w:t>
      </w:r>
    </w:p>
    <w:p>
      <w:pPr>
        <w:pStyle w:val="FirstParagraph"/>
      </w:pPr>
      <w:r>
        <w:t xml:space="preserve">The Saudi Arabia market presents unique hurdles, which our Electrical Engineer proactively addresses:</w:t>
      </w:r>
    </w:p>
    <w:p>
      <w:pPr>
        <w:numPr>
          <w:ilvl w:val="0"/>
          <w:numId w:val="1002"/>
        </w:numPr>
        <w:pStyle w:val="Compact"/>
      </w:pPr>
      <w:r>
        <w:rPr>
          <w:bCs/>
          <w:b/>
        </w:rPr>
        <w:t xml:space="preserve">Local Standards Complexity:</w:t>
      </w:r>
      <w:r>
        <w:t xml:space="preserve"> </w:t>
      </w:r>
      <w:r>
        <w:t xml:space="preserve">Navigating evolving SASO certification requirements for electrical equipment. The engineer maintains direct liaison with SBCA, ensuring all products meet local specifications before tender submission.</w:t>
      </w:r>
    </w:p>
    <w:p>
      <w:pPr>
        <w:numPr>
          <w:ilvl w:val="0"/>
          <w:numId w:val="1002"/>
        </w:numPr>
        <w:pStyle w:val="Compact"/>
      </w:pPr>
      <w:r>
        <w:rPr>
          <w:bCs/>
          <w:b/>
        </w:rPr>
        <w:t xml:space="preserve">Cultural &amp; Communication Nuances:</w:t>
      </w:r>
      <w:r>
        <w:t xml:space="preserve"> </w:t>
      </w:r>
      <w:r>
        <w:t xml:space="preserve">Understanding Riyadh’s business etiquette—such as the importance of face-to-face technical validation during high-level meetings—enables smoother client relationships. The engineer is fluent in Arabic and adept at presenting complex concepts to non-technical stakeholders.</w:t>
      </w:r>
    </w:p>
    <w:p>
      <w:pPr>
        <w:numPr>
          <w:ilvl w:val="0"/>
          <w:numId w:val="1002"/>
        </w:numPr>
        <w:pStyle w:val="Compact"/>
      </w:pPr>
      <w:r>
        <w:rPr>
          <w:bCs/>
          <w:b/>
        </w:rPr>
        <w:t xml:space="preserve">Supply Chain Integration:</w:t>
      </w:r>
      <w:r>
        <w:t xml:space="preserve"> </w:t>
      </w:r>
      <w:r>
        <w:t xml:space="preserve">Partnering with local Saudi suppliers (e.g., Al-Khaleej Electrical) for rapid component sourcing, avoiding delays common in global supply chains. This was critical during the recent Riyadh Airport expansion project, where on-time delivery secured a $4M add-on contract.</w:t>
      </w:r>
    </w:p>
    <w:bookmarkEnd w:id="24"/>
    <w:bookmarkStart w:id="25" w:name="future-outlook-strategic-recommendations"/>
    <w:p>
      <w:pPr>
        <w:pStyle w:val="Heading2"/>
      </w:pPr>
      <w:r>
        <w:t xml:space="preserve">Future Outlook &amp; Strategic Recommendations</w:t>
      </w:r>
    </w:p>
    <w:p>
      <w:pPr>
        <w:pStyle w:val="FirstParagraph"/>
      </w:pPr>
      <w:r>
        <w:t xml:space="preserve">Given Riyadh’s projected 12% CAGR in infrastructure spend (World Bank, 2024), the role of the Electrical Engineer will become even more pivotal. Our Sales Report recommends:</w:t>
      </w:r>
    </w:p>
    <w:p>
      <w:pPr>
        <w:numPr>
          <w:ilvl w:val="0"/>
          <w:numId w:val="1003"/>
        </w:numPr>
        <w:pStyle w:val="Compact"/>
      </w:pPr>
      <w:r>
        <w:rPr>
          <w:bCs/>
          <w:b/>
        </w:rPr>
        <w:t xml:space="preserve">Expand Engineer Coverage:</w:t>
      </w:r>
      <w:r>
        <w:t xml:space="preserve"> </w:t>
      </w:r>
      <w:r>
        <w:t xml:space="preserve">Deploy a second Electrical Engineer focused exclusively on Riyadh's Central District to support emerging sectors like data centers (critical for NEOM’s digital backbone) and EV charging networks.</w:t>
      </w:r>
    </w:p>
    <w:p>
      <w:pPr>
        <w:numPr>
          <w:ilvl w:val="0"/>
          <w:numId w:val="1003"/>
        </w:numPr>
        <w:pStyle w:val="Compact"/>
      </w:pPr>
      <w:r>
        <w:rPr>
          <w:bCs/>
          <w:b/>
        </w:rPr>
        <w:t xml:space="preserve">Integrate Vision 2030 Alignment:</w:t>
      </w:r>
      <w:r>
        <w:t xml:space="preserve"> </w:t>
      </w:r>
      <w:r>
        <w:t xml:space="preserve">Develop specialized technical packages highlighting how solutions reduce carbon footprint, directly supporting Saudi sustainability KPIs—this is increasingly a tender requirement.</w:t>
      </w:r>
    </w:p>
    <w:p>
      <w:pPr>
        <w:numPr>
          <w:ilvl w:val="0"/>
          <w:numId w:val="1003"/>
        </w:numPr>
        <w:pStyle w:val="Compact"/>
      </w:pPr>
      <w:r>
        <w:rPr>
          <w:bCs/>
          <w:b/>
        </w:rPr>
        <w:t xml:space="preserve">Skill Development:</w:t>
      </w:r>
      <w:r>
        <w:t xml:space="preserve"> </w:t>
      </w:r>
      <w:r>
        <w:t xml:space="preserve">Certify the current engineer in Saudi-specific solar grid integration (SUNREF framework) to capitalize on Riyadh’s $1.5B renewable energy push.</w:t>
      </w:r>
    </w:p>
    <w:bookmarkEnd w:id="25"/>
    <w:bookmarkStart w:id="26" w:name="conclusion"/>
    <w:p>
      <w:pPr>
        <w:pStyle w:val="Heading2"/>
      </w:pPr>
      <w:r>
        <w:t xml:space="preserve">Conclusion</w:t>
      </w:r>
    </w:p>
    <w:p>
      <w:pPr>
        <w:pStyle w:val="FirstParagraph"/>
      </w:pPr>
      <w:r>
        <w:t xml:space="preserve">The data is unequivocal: embedding a highly skilled Electrical Engineer within the sales function isn’t just beneficial—it is the cornerstone of sustainable growth in Saudi Arabia’s Riyadh market. This Sales Report confirms that technical expertise, when leveraged as a strategic sales tool, directly drives higher win rates, faster deal cycles, and stronger client partnerships. As Riyadh accelerates toward becoming a global smart city benchmark under Vision 2030, our Electrical Engineer delivers the localized knowledge and technical authority that transforms sales opportunities into long-term revenue streams. Investing in this role is not an operational expense but a strategic imperative for dominance in the Kingdom’s most vital marketplace.</w:t>
      </w:r>
    </w:p>
    <w:p>
      <w:pPr>
        <w:pStyle w:val="BodyText"/>
      </w:pPr>
      <w:r>
        <w:rPr>
          <w:iCs/>
          <w:i/>
        </w:rPr>
        <w:t xml:space="preserve">Prepared for: Riyadh Sales Leadership Team | Date: October 26, 2024 | Company: Al-Majd Engineering &amp;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Support Driving Growth in Riyadh, Saudi Arabia</dc:title>
  <dc:creator/>
  <dc:language>en</dc:language>
  <cp:keywords/>
  <dcterms:created xsi:type="dcterms:W3CDTF">2026-05-31T02:39:18Z</dcterms:created>
  <dcterms:modified xsi:type="dcterms:W3CDTF">2026-05-31T02:39:18Z</dcterms:modified>
</cp:coreProperties>
</file>

<file path=docProps/custom.xml><?xml version="1.0" encoding="utf-8"?>
<Properties xmlns="http://schemas.openxmlformats.org/officeDocument/2006/custom-properties" xmlns:vt="http://schemas.openxmlformats.org/officeDocument/2006/docPropsVTypes"/>
</file>