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r>
        <w:t xml:space="preserve"> </w:t>
      </w:r>
      <w:r>
        <w:t xml:space="preserve">Analysis</w:t>
      </w:r>
    </w:p>
    <w:bookmarkStart w:id="27" w:name="X04deb2951ef940b82720312777ab3189b62c836"/>
    <w:p>
      <w:pPr>
        <w:pStyle w:val="Heading1"/>
      </w:pPr>
      <w:r>
        <w:t xml:space="preserve">Electrical Engineering Sales Performance Report</w:t>
      </w:r>
      <w:r>
        <w:br/>
      </w:r>
      <w:r>
        <w:t xml:space="preserve">United Kingdom London Market - Q3 2023</w:t>
      </w:r>
    </w:p>
    <w:p>
      <w:pPr>
        <w:pStyle w:val="FirstParagraph"/>
      </w:pPr>
      <w:r>
        <w:rPr>
          <w:bCs/>
          <w:b/>
        </w:rPr>
        <w:t xml:space="preserve">Prepared For:</w:t>
      </w:r>
      <w:r>
        <w:t xml:space="preserve"> </w:t>
      </w:r>
      <w:r>
        <w:t xml:space="preserve">Executive Leadership, TechSolutions UK</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Electrical Engineering service division within the United Kingdom London market. As demand for specialized electrical engineering expertise continues to surge in London's rapidly evolving infrastructure landscape, this report analyzes key sales metrics, market dynamics, and strategic opportunities. The quarter concluded with a 14.7% increase in contract value compared to Q2 2023, driven by heightened activity across commercial developments, renewable energy integration projects, and critical infrastructure modernization initiatives throughout Greater London.</w:t>
      </w:r>
    </w:p>
    <w:bookmarkEnd w:id="20"/>
    <w:bookmarkStart w:id="21" w:name="market-context-demand-analysis"/>
    <w:p>
      <w:pPr>
        <w:pStyle w:val="Heading2"/>
      </w:pPr>
      <w:r>
        <w:t xml:space="preserve">Market Context &amp; Demand Analysis</w:t>
      </w:r>
    </w:p>
    <w:p>
      <w:pPr>
        <w:pStyle w:val="FirstParagraph"/>
      </w:pPr>
      <w:r>
        <w:t xml:space="preserve">The United Kingdom London electrical engineering market remains exceptionally robust, fueled by the government's Net Zero 2050 targets, ongoing Crossrail expansion projects, and urgent modernization needs across aging utility networks. As of Q3 2023, London accounts for approximately 38% of all major electrical engineering contracts in the UK, with demand outpacing supply by an estimated 17% according to the Engineering Council's latest market intelligence. This scarcity position presents both a challenge and significant opportunity for our sales team.</w:t>
      </w:r>
    </w:p>
    <w:p>
      <w:pPr>
        <w:pStyle w:val="BodyText"/>
      </w:pPr>
      <w:r>
        <w:t xml:space="preserve">Key growth drivers identified in our London operations include:</w:t>
      </w:r>
    </w:p>
    <w:p>
      <w:pPr>
        <w:numPr>
          <w:ilvl w:val="0"/>
          <w:numId w:val="1001"/>
        </w:numPr>
        <w:pStyle w:val="Compact"/>
      </w:pPr>
      <w:r>
        <w:rPr>
          <w:bCs/>
          <w:b/>
        </w:rPr>
        <w:t xml:space="preserve">Commercial Developments:</w:t>
      </w:r>
      <w:r>
        <w:t xml:space="preserve"> </w:t>
      </w:r>
      <w:r>
        <w:t xml:space="preserve">32 new high-rise commercial projects under construction across Canary Wharf and the City of London required full electrical engineering packages</w:t>
      </w:r>
    </w:p>
    <w:p>
      <w:pPr>
        <w:numPr>
          <w:ilvl w:val="0"/>
          <w:numId w:val="1001"/>
        </w:numPr>
        <w:pStyle w:val="Compact"/>
      </w:pPr>
      <w:r>
        <w:rPr>
          <w:bCs/>
          <w:b/>
        </w:rPr>
        <w:t xml:space="preserve">Renewable Integration:</w:t>
      </w:r>
      <w:r>
        <w:t xml:space="preserve"> </w:t>
      </w:r>
      <w:r>
        <w:t xml:space="preserve">18 major contracts for grid modernization supporting London's solar/wind energy adoption initiatives</w:t>
      </w:r>
    </w:p>
    <w:p>
      <w:pPr>
        <w:numPr>
          <w:ilvl w:val="0"/>
          <w:numId w:val="1001"/>
        </w:numPr>
        <w:pStyle w:val="Compact"/>
      </w:pPr>
      <w:r>
        <w:rPr>
          <w:bCs/>
          <w:b/>
        </w:rPr>
        <w:t xml:space="preserve">Infrastructure Resilience:</w:t>
      </w:r>
      <w:r>
        <w:t xml:space="preserve"> </w:t>
      </w:r>
      <w:r>
        <w:t xml:space="preserve">Critical upgrades to substation infrastructure across the Thames Valley corridor (notably at Battersea and Stratford)</w:t>
      </w:r>
    </w:p>
    <w:p>
      <w:pPr>
        <w:numPr>
          <w:ilvl w:val="0"/>
          <w:numId w:val="1001"/>
        </w:numPr>
        <w:pStyle w:val="Compact"/>
      </w:pPr>
      <w:r>
        <w:rPr>
          <w:bCs/>
          <w:b/>
        </w:rPr>
        <w:t xml:space="preserve">Smart City Initiatives:</w:t>
      </w:r>
      <w:r>
        <w:t xml:space="preserve"> </w:t>
      </w:r>
      <w:r>
        <w:t xml:space="preserve">7 municipal contracts for intelligent lighting and EV charging networks across boroughs</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Q2 2023 (GBP)</w:t>
            </w:r>
          </w:p>
        </w:tc>
        <w:tc>
          <w:tcPr/>
          <w:p>
            <w:pPr>
              <w:pStyle w:val="Compact"/>
              <w:jc w:val="left"/>
            </w:pPr>
            <w:r>
              <w:t xml:space="preserve">Q3 2023 (GBP)</w:t>
            </w:r>
          </w:p>
        </w:tc>
        <w:tc>
          <w:tcPr/>
          <w:p>
            <w:pPr>
              <w:pStyle w:val="Compact"/>
              <w:jc w:val="left"/>
            </w:pPr>
            <w:r>
              <w:t xml:space="preserve">% Change</w:t>
            </w:r>
          </w:p>
        </w:tc>
      </w:tr>
      <w:tr>
        <w:tc>
          <w:tcPr/>
          <w:p>
            <w:pPr>
              <w:pStyle w:val="Compact"/>
              <w:jc w:val="left"/>
            </w:pPr>
            <w:r>
              <w:t xml:space="preserve">Commercial Projects</w:t>
            </w:r>
          </w:p>
        </w:tc>
        <w:tc>
          <w:tcPr/>
          <w:p>
            <w:pPr>
              <w:pStyle w:val="Compact"/>
              <w:jc w:val="left"/>
            </w:pPr>
            <w:r>
              <w:t xml:space="preserve">£1.82M</w:t>
            </w:r>
          </w:p>
        </w:tc>
        <w:tc>
          <w:tcPr/>
          <w:p>
            <w:pPr>
              <w:pStyle w:val="Compact"/>
              <w:jc w:val="left"/>
            </w:pPr>
            <w:r>
              <w:t xml:space="preserve">£2.35M</w:t>
            </w:r>
          </w:p>
        </w:tc>
        <w:tc>
          <w:tcPr/>
          <w:p>
            <w:pPr>
              <w:pStyle w:val="Compact"/>
              <w:jc w:val="left"/>
            </w:pPr>
            <w:r>
              <w:t xml:space="preserve">+30.4%</w:t>
            </w:r>
          </w:p>
        </w:tc>
      </w:tr>
      <w:tr>
        <w:tc>
          <w:tcPr/>
          <w:p>
            <w:pPr>
              <w:pStyle w:val="Compact"/>
              <w:jc w:val="left"/>
            </w:pPr>
            <w:r>
              <w:t xml:space="preserve">Renewable Integration</w:t>
            </w:r>
          </w:p>
        </w:tc>
        <w:tc>
          <w:tcPr/>
          <w:p>
            <w:pPr>
              <w:pStyle w:val="Compact"/>
              <w:jc w:val="left"/>
            </w:pPr>
            <w:r>
              <w:t xml:space="preserve">£1.15M</w:t>
            </w:r>
          </w:p>
        </w:tc>
        <w:tc>
          <w:tcPr/>
          <w:p>
            <w:pPr>
              <w:pStyle w:val="Compact"/>
              <w:jc w:val="left"/>
            </w:pPr>
            <w:r>
              <w:t xml:space="preserve">£1.68M</w:t>
            </w:r>
          </w:p>
        </w:tc>
        <w:tc>
          <w:tcPr/>
          <w:p>
            <w:pPr>
              <w:pStyle w:val="Compact"/>
              <w:jc w:val="left"/>
            </w:pPr>
            <w:r>
              <w:t xml:space="preserve">+46.3%</w:t>
            </w:r>
          </w:p>
        </w:tc>
      </w:tr>
      <w:tr>
        <w:tc>
          <w:tcPr/>
          <w:p>
            <w:pPr>
              <w:pStyle w:val="Compact"/>
              <w:jc w:val="left"/>
            </w:pPr>
            <w:r>
              <w:t xml:space="preserve">Infrastructure Modernization</w:t>
            </w:r>
          </w:p>
        </w:tc>
        <w:tc>
          <w:tcPr/>
          <w:p>
            <w:pPr>
              <w:pStyle w:val="Compact"/>
              <w:jc w:val="left"/>
            </w:pPr>
            <w:r>
              <w:t xml:space="preserve">£980K</w:t>
            </w:r>
          </w:p>
        </w:tc>
        <w:tc>
          <w:tcPr/>
          <w:p>
            <w:pPr>
              <w:pStyle w:val="Compact"/>
              <w:jc w:val="left"/>
            </w:pPr>
            <w:r>
              <w:t xml:space="preserve">£1.22M</w:t>
            </w:r>
          </w:p>
        </w:tc>
        <w:tc>
          <w:tcPr/>
          <w:p>
            <w:pPr>
              <w:pStyle w:val="Compact"/>
              <w:jc w:val="left"/>
            </w:pPr>
            <w:r>
              <w:t xml:space="preserve">+24.5%</w:t>
            </w:r>
          </w:p>
        </w:tc>
      </w:tr>
      <w:tr>
        <w:tc>
          <w:tcPr/>
          <w:p>
            <w:pPr>
              <w:pStyle w:val="Compact"/>
              <w:jc w:val="left"/>
            </w:pPr>
            <w:r>
              <w:t xml:space="preserve">Total Revenue</w:t>
            </w:r>
          </w:p>
        </w:tc>
        <w:tc>
          <w:tcPr/>
          <w:p>
            <w:pPr>
              <w:pStyle w:val="Compact"/>
              <w:jc w:val="left"/>
            </w:pPr>
            <w:r>
              <w:rPr>
                <w:bCs/>
                <w:b/>
              </w:rPr>
              <w:t xml:space="preserve">£3.95M</w:t>
            </w:r>
          </w:p>
        </w:tc>
        <w:tc>
          <w:tcPr/>
          <w:p>
            <w:pPr>
              <w:pStyle w:val="Compact"/>
              <w:jc w:val="left"/>
            </w:pPr>
            <w:r>
              <w:rPr>
                <w:bCs/>
                <w:b/>
              </w:rPr>
              <w:t xml:space="preserve">£5.25M</w:t>
            </w:r>
          </w:p>
        </w:tc>
        <w:tc>
          <w:tcPr/>
          <w:p>
            <w:pPr>
              <w:pStyle w:val="Compact"/>
              <w:jc w:val="left"/>
            </w:pPr>
            <w:r>
              <w:rPr>
                <w:bCs/>
                <w:b/>
              </w:rPr>
              <w:t xml:space="preserve">+14.7%</w:t>
            </w:r>
          </w:p>
        </w:tc>
      </w:tr>
    </w:tbl>
    <w:p>
      <w:pPr>
        <w:pStyle w:val="BodyText"/>
      </w:pPr>
      <w:r>
        <w:t xml:space="preserve">The exceptional performance in renewable integration (46.3% growth) directly responds to London's updated Climate Action Plan, which mandates all new developments above 10,000 sqm to incorporate 25% renewable energy generation by Q1 2025. Our Electrical Engineer team's specialized expertise in grid-connected solar/wind systems proved decisive in securing contracts with major developers including Canary Wharf Group and City of London Corporation.</w:t>
      </w:r>
    </w:p>
    <w:bookmarkEnd w:id="22"/>
    <w:bookmarkStart w:id="23" w:name="key-client-acquisition-highlights"/>
    <w:p>
      <w:pPr>
        <w:pStyle w:val="Heading2"/>
      </w:pPr>
      <w:r>
        <w:t xml:space="preserve">Key Client Acquisition Highlights</w:t>
      </w:r>
    </w:p>
    <w:p>
      <w:pPr>
        <w:pStyle w:val="FirstParagraph"/>
      </w:pPr>
      <w:r>
        <w:t xml:space="preserve">Q3 witnessed several landmark wins demonstrating the strategic value our Electrical Engineer specialists deliver to London's most demanding clients:</w:t>
      </w:r>
    </w:p>
    <w:p>
      <w:pPr>
        <w:numPr>
          <w:ilvl w:val="0"/>
          <w:numId w:val="1002"/>
        </w:numPr>
        <w:pStyle w:val="Compact"/>
      </w:pPr>
      <w:r>
        <w:rPr>
          <w:bCs/>
          <w:b/>
        </w:rPr>
        <w:t xml:space="preserve">Westminster City Council:</w:t>
      </w:r>
      <w:r>
        <w:t xml:space="preserve"> </w:t>
      </w:r>
      <w:r>
        <w:t xml:space="preserve">£875K contract for smart street lighting retrofits across Westminster, utilizing our Electrical Engineer team's expertise in IoT-enabled energy management systems</w:t>
      </w:r>
    </w:p>
    <w:p>
      <w:pPr>
        <w:numPr>
          <w:ilvl w:val="0"/>
          <w:numId w:val="1002"/>
        </w:numPr>
        <w:pStyle w:val="Compact"/>
      </w:pPr>
      <w:r>
        <w:rPr>
          <w:bCs/>
          <w:b/>
        </w:rPr>
        <w:t xml:space="preserve">London Underground (TfL):</w:t>
      </w:r>
      <w:r>
        <w:t xml:space="preserve"> </w:t>
      </w:r>
      <w:r>
        <w:t xml:space="preserve">£1.2M agreement for substation modernization at Waterloo Station, addressing critical safety upgrades required by the latest UK railway standards (RS 2023)</w:t>
      </w:r>
    </w:p>
    <w:p>
      <w:pPr>
        <w:numPr>
          <w:ilvl w:val="0"/>
          <w:numId w:val="1002"/>
        </w:numPr>
        <w:pStyle w:val="Compact"/>
      </w:pPr>
      <w:r>
        <w:rPr>
          <w:bCs/>
          <w:b/>
        </w:rPr>
        <w:t xml:space="preserve">Sky Group:</w:t>
      </w:r>
      <w:r>
        <w:t xml:space="preserve"> </w:t>
      </w:r>
      <w:r>
        <w:t xml:space="preserve">£450K retention contract for their new Stratford headquarters, featuring our Electrical Engineer team's design of redundant power systems meeting BS EN 62040-1 standards</w:t>
      </w:r>
    </w:p>
    <w:p>
      <w:pPr>
        <w:numPr>
          <w:ilvl w:val="0"/>
          <w:numId w:val="1002"/>
        </w:numPr>
        <w:pStyle w:val="Compact"/>
      </w:pPr>
      <w:r>
        <w:rPr>
          <w:bCs/>
          <w:b/>
        </w:rPr>
        <w:t xml:space="preserve">Emirates Airline Terminal 5 Expansion:</w:t>
      </w:r>
      <w:r>
        <w:t xml:space="preserve"> </w:t>
      </w:r>
      <w:r>
        <w:t xml:space="preserve">£3.1M electrical infrastructure project, leveraging our London-based Electrical Engineer network to deliver on accelerated timelines</w:t>
      </w:r>
    </w:p>
    <w:bookmarkEnd w:id="23"/>
    <w:bookmarkStart w:id="24" w:name="market-challenges-competitive-landscape"/>
    <w:p>
      <w:pPr>
        <w:pStyle w:val="Heading2"/>
      </w:pPr>
      <w:r>
        <w:t xml:space="preserve">Market Challenges &amp; Competitive Landscape</w:t>
      </w:r>
    </w:p>
    <w:p>
      <w:pPr>
        <w:pStyle w:val="FirstParagraph"/>
      </w:pPr>
      <w:r>
        <w:t xml:space="preserve">Despite strong performance, our sales team encountered significant challenges in the United Kingdom London market:</w:t>
      </w:r>
    </w:p>
    <w:p>
      <w:pPr>
        <w:numPr>
          <w:ilvl w:val="0"/>
          <w:numId w:val="1003"/>
        </w:numPr>
        <w:pStyle w:val="Compact"/>
      </w:pPr>
      <w:r>
        <w:rPr>
          <w:bCs/>
          <w:b/>
        </w:rPr>
        <w:t xml:space="preserve">Talent Shortage:</w:t>
      </w:r>
      <w:r>
        <w:t xml:space="preserve"> </w:t>
      </w:r>
      <w:r>
        <w:t xml:space="preserve">Recruitment delays for Senior Electrical Engineers impacted project scheduling by 3-4 weeks on three major contracts</w:t>
      </w:r>
    </w:p>
    <w:p>
      <w:pPr>
        <w:numPr>
          <w:ilvl w:val="0"/>
          <w:numId w:val="1003"/>
        </w:numPr>
        <w:pStyle w:val="Compact"/>
      </w:pPr>
      <w:r>
        <w:rPr>
          <w:bCs/>
          <w:b/>
        </w:rPr>
        <w:t xml:space="preserve">Regulatory Complexity:</w:t>
      </w:r>
      <w:r>
        <w:t xml:space="preserve"> </w:t>
      </w:r>
      <w:r>
        <w:t xml:space="preserve">Evolving UK standards (particularly BS 7671:2023) created technical compliance hurdles requiring additional engineering resources</w:t>
      </w:r>
    </w:p>
    <w:p>
      <w:pPr>
        <w:numPr>
          <w:ilvl w:val="0"/>
          <w:numId w:val="1003"/>
        </w:numPr>
        <w:pStyle w:val="Compact"/>
      </w:pPr>
      <w:r>
        <w:rPr>
          <w:bCs/>
          <w:b/>
        </w:rPr>
        <w:t xml:space="preserve">Competition:</w:t>
      </w:r>
      <w:r>
        <w:t xml:space="preserve"> </w:t>
      </w:r>
      <w:r>
        <w:t xml:space="preserve">Increased bidding from regional engineering firms offering 8-12% price reductions on standard services, though we maintained premium positioning through value-based selling</w:t>
      </w:r>
    </w:p>
    <w:p>
      <w:pPr>
        <w:numPr>
          <w:ilvl w:val="0"/>
          <w:numId w:val="1003"/>
        </w:numPr>
        <w:pStyle w:val="Compact"/>
      </w:pPr>
      <w:r>
        <w:rPr>
          <w:bCs/>
          <w:b/>
        </w:rPr>
        <w:t xml:space="preserve">Supply Chain Delays:</w:t>
      </w:r>
      <w:r>
        <w:t xml:space="preserve"> </w:t>
      </w:r>
      <w:r>
        <w:t xml:space="preserve">Critical electrical components (transformers, switchgear) experienced 6-8 week delays due to global manufacturing disruptions</w:t>
      </w:r>
    </w:p>
    <w:p>
      <w:pPr>
        <w:pStyle w:val="FirstParagraph"/>
      </w:pPr>
      <w:r>
        <w:t xml:space="preserve">Notably, our competitive advantage in the London market remains our deep local expertise – 72% of our Electrical Engineer team are based within Greater London with established relationships with all major borough councils and utility providers. This proximity enables faster response times and contextual understanding that competitors lack.</w:t>
      </w:r>
    </w:p>
    <w:bookmarkEnd w:id="24"/>
    <w:bookmarkStart w:id="25" w:name="strategic-recommendations-for-q4"/>
    <w:p>
      <w:pPr>
        <w:pStyle w:val="Heading2"/>
      </w:pPr>
      <w:r>
        <w:t xml:space="preserve">Strategic Recommendations for Q4</w:t>
      </w:r>
    </w:p>
    <w:p>
      <w:pPr>
        <w:pStyle w:val="FirstParagraph"/>
      </w:pPr>
      <w:r>
        <w:t xml:space="preserve">Based on our United Kingdom London market analysis, we recommend the following strategic initiatives to capitalize on current momentum:</w:t>
      </w:r>
    </w:p>
    <w:p>
      <w:pPr>
        <w:numPr>
          <w:ilvl w:val="0"/>
          <w:numId w:val="1004"/>
        </w:numPr>
        <w:pStyle w:val="Compact"/>
      </w:pPr>
      <w:r>
        <w:rPr>
          <w:bCs/>
          <w:b/>
        </w:rPr>
        <w:t xml:space="preserve">Launch London Electrical Engineer Talent Pool:</w:t>
      </w:r>
      <w:r>
        <w:t xml:space="preserve"> </w:t>
      </w:r>
      <w:r>
        <w:t xml:space="preserve">Establish a dedicated recruitment pipeline for mid-to-senior Electrical Engineers targeting graduates from Imperial College London, University of Surrey, and City University London. Target to reduce talent acquisition time by 40% by Q1 2024.</w:t>
      </w:r>
    </w:p>
    <w:p>
      <w:pPr>
        <w:numPr>
          <w:ilvl w:val="0"/>
          <w:numId w:val="1004"/>
        </w:numPr>
        <w:pStyle w:val="Compact"/>
      </w:pPr>
      <w:r>
        <w:rPr>
          <w:bCs/>
          <w:b/>
        </w:rPr>
        <w:t xml:space="preserve">Develop Specialized Offerings:</w:t>
      </w:r>
      <w:r>
        <w:t xml:space="preserve"> </w:t>
      </w:r>
      <w:r>
        <w:t xml:space="preserve">Create pre-packaged solutions for key London market segments (e.g., "Net Zero Commercial Retrofit Package" for developers) with 15-20% faster deployment timelines than standard proposals.</w:t>
      </w:r>
    </w:p>
    <w:p>
      <w:pPr>
        <w:numPr>
          <w:ilvl w:val="0"/>
          <w:numId w:val="1004"/>
        </w:numPr>
        <w:pStyle w:val="Compact"/>
      </w:pPr>
      <w:r>
        <w:rPr>
          <w:bCs/>
          <w:b/>
        </w:rPr>
        <w:t xml:space="preserve">Strengthen Council Partnerships:</w:t>
      </w:r>
      <w:r>
        <w:t xml:space="preserve"> </w:t>
      </w:r>
      <w:r>
        <w:t xml:space="preserve">Implement quarterly technical workshops with Greater London Authority departments to showcase our Electrical Engineer team's capability in addressing specific borough energy challenges.</w:t>
      </w:r>
    </w:p>
    <w:p>
      <w:pPr>
        <w:numPr>
          <w:ilvl w:val="0"/>
          <w:numId w:val="1004"/>
        </w:numPr>
        <w:pStyle w:val="Compact"/>
      </w:pPr>
      <w:r>
        <w:rPr>
          <w:bCs/>
          <w:b/>
        </w:rPr>
        <w:t xml:space="preserve">Invest in Digital Tools:</w:t>
      </w:r>
      <w:r>
        <w:t xml:space="preserve"> </w:t>
      </w:r>
      <w:r>
        <w:t xml:space="preserve">Deploy AI-powered engineering software for rapid design validation to overcome current supply chain bottlenecks, reducing project planning time by 25%.</w:t>
      </w:r>
    </w:p>
    <w:bookmarkEnd w:id="25"/>
    <w:bookmarkStart w:id="26" w:name="conclusion"/>
    <w:p>
      <w:pPr>
        <w:pStyle w:val="Heading2"/>
      </w:pPr>
      <w:r>
        <w:t xml:space="preserve">Conclusion</w:t>
      </w:r>
    </w:p>
    <w:p>
      <w:pPr>
        <w:pStyle w:val="FirstParagraph"/>
      </w:pPr>
      <w:r>
        <w:t xml:space="preserve">The Electrical Engineer services market in the United Kingdom London continues to demonstrate exceptional growth potential, with our Q3 performance reflecting strong market positioning. The sustained demand for specialized electrical engineering expertise – particularly around sustainable infrastructure and digital integration – confirms that strategic investment in this sector remains highly prudent for TechSolutions UK's long-term growth strategy. As we enter the critical Q4 period, the continued focus on leveraging our London-based Electrical Engineer talent network, adapting to evolving regulatory requirements, and capitalizing on major infrastructure initiatives will be paramount to maintaining our market leadership position.</w:t>
      </w:r>
    </w:p>
    <w:p>
      <w:pPr>
        <w:pStyle w:val="BodyText"/>
      </w:pPr>
      <w:r>
        <w:t xml:space="preserve">With London's projected 12% annual growth in electrical engineering services through 2025 (per Engineering UK), the strategic emphasis on deep local market expertise within our Sales Report framework positions us for sustained success. We are confident that by implementing these targeted recommendations, we will achieve a minimum 18% revenue growth in Q4 compared to Q3, reinforcing our status as the premier Electrical Engineer partner for critical infrastructure projects across the United Kingdom London corridor.</w:t>
      </w:r>
    </w:p>
    <w:p>
      <w:pPr>
        <w:pStyle w:val="BodyText"/>
      </w:pPr>
      <w:r>
        <w:rPr>
          <w:bCs/>
          <w:b/>
        </w:rPr>
        <w:t xml:space="preserve">Report Prepared By:</w:t>
      </w:r>
      <w:r>
        <w:t xml:space="preserve"> </w:t>
      </w:r>
      <w:r>
        <w:t xml:space="preserve">Sales Strategy Department, TechSolutions UK</w:t>
      </w:r>
      <w:r>
        <w:br/>
      </w:r>
      <w:r>
        <w:rPr>
          <w:iCs/>
          <w:i/>
        </w:rPr>
        <w:t xml:space="preserve">Delivering Electrical Engineering Excellence Across the United Kingdom London Since 1998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United Kingdom London Market Analysis</dc:title>
  <dc:creator/>
  <dc:language>en</dc:language>
  <cp:keywords/>
  <dcterms:created xsi:type="dcterms:W3CDTF">2026-07-23T23:11:49Z</dcterms:created>
  <dcterms:modified xsi:type="dcterms:W3CDTF">2026-07-23T23:11:49Z</dcterms:modified>
</cp:coreProperties>
</file>

<file path=docProps/custom.xml><?xml version="1.0" encoding="utf-8"?>
<Properties xmlns="http://schemas.openxmlformats.org/officeDocument/2006/custom-properties" xmlns:vt="http://schemas.openxmlformats.org/officeDocument/2006/docPropsVTypes"/>
</file>