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Xe9ffa660c957be17aad11b1dfcbadcd6b8e2d61"/>
    <w:p>
      <w:pPr>
        <w:pStyle w:val="Heading1"/>
      </w:pPr>
      <w:r>
        <w:t xml:space="preserve">Sales Report: Electrical Engineering Services in the United States Miami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Florida Power &amp; Light (FPL) Partnerships Division</w:t>
      </w:r>
      <w:r>
        <w:br/>
      </w:r>
      <w:r>
        <w:rPr>
          <w:bCs/>
          <w:b/>
        </w:rPr>
        <w:t xml:space="preserve">Prepared By:</w:t>
      </w:r>
      <w:r>
        <w:t xml:space="preserve"> </w:t>
      </w:r>
      <w:r>
        <w:t xml:space="preserve">Global Engineering Solutions Group (GEG) - Miami Sales Division</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outlook for Electrical Engineering services within the United States Miami market during Q3 2023. The report underscores a robust 18% year-over-year growth in service contracts, driven by Miami's accelerated infrastructure modernization, stringent building code compliance demands (Florida Building Code Section 502), and the critical need for resilient electrical systems in hurricane-prone zones. Our team of licensed</w:t>
      </w:r>
      <w:r>
        <w:t xml:space="preserve"> </w:t>
      </w:r>
      <w:r>
        <w:rPr>
          <w:bCs/>
          <w:b/>
        </w:rPr>
        <w:t xml:space="preserve">Electrical Engineer</w:t>
      </w:r>
      <w:r>
        <w:t xml:space="preserve">s has positioned GEG as the premier service provider for commercial, residential, and municipal projects across</w:t>
      </w:r>
      <w:r>
        <w:t xml:space="preserve"> </w:t>
      </w:r>
      <w:r>
        <w:rPr>
          <w:bCs/>
          <w:b/>
        </w:rPr>
        <w:t xml:space="preserve">United States Miami</w:t>
      </w:r>
      <w:r>
        <w:t xml:space="preserve">, securing $4.2M in new contracts this quarter alone.</w:t>
      </w:r>
    </w:p>
    <w:bookmarkEnd w:id="20"/>
    <w:bookmarkStart w:id="21" w:name="X3e942ccbc25a7eb84e9f6bdcf37ce53a4a149ef"/>
    <w:p>
      <w:pPr>
        <w:pStyle w:val="Heading2"/>
      </w:pPr>
      <w:r>
        <w:t xml:space="preserve">II. Market Analysis: Miami's Unique Electrical Engineering Demand</w:t>
      </w:r>
    </w:p>
    <w:p>
      <w:pPr>
        <w:pStyle w:val="FirstParagraph"/>
      </w:pPr>
      <w:r>
        <w:t xml:space="preserve">Miami's market presents distinct challenges and opportunities for the</w:t>
      </w:r>
      <w:r>
        <w:t xml:space="preserve"> </w:t>
      </w:r>
      <w:r>
        <w:rPr>
          <w:bCs/>
          <w:b/>
        </w:rPr>
        <w:t xml:space="preserve">Electrical Engineer</w:t>
      </w:r>
      <w:r>
        <w:t xml:space="preserve">. The city's rapid development, including high-rise condominiums in Brickell, waterfront hotels in South Beach, and renewable energy initiatives under the Miami Forever Bond program, creates a constant demand for specialized electrical expertise. Key drivers include:</w:t>
      </w:r>
    </w:p>
    <w:p>
      <w:pPr>
        <w:numPr>
          <w:ilvl w:val="0"/>
          <w:numId w:val="1001"/>
        </w:numPr>
        <w:pStyle w:val="Compact"/>
      </w:pPr>
      <w:r>
        <w:rPr>
          <w:bCs/>
          <w:b/>
        </w:rPr>
        <w:t xml:space="preserve">Hurricane Resilience Standards:</w:t>
      </w:r>
      <w:r>
        <w:t xml:space="preserve"> </w:t>
      </w:r>
      <w:r>
        <w:t xml:space="preserve">Post-2023 storm season mandates require all new electrical systems to meet enhanced wind-load and flood-resistance criteria. Our</w:t>
      </w:r>
      <w:r>
        <w:t xml:space="preserve"> </w:t>
      </w:r>
      <w:r>
        <w:rPr>
          <w:bCs/>
          <w:b/>
        </w:rPr>
        <w:t xml:space="preserve">Electrical Engineer</w:t>
      </w:r>
      <w:r>
        <w:t xml:space="preserve">s specialize in designing underground service entrances and surge protection systems compliant with FEMA P-551, directly addressing a critical client pain point.</w:t>
      </w:r>
    </w:p>
    <w:p>
      <w:pPr>
        <w:numPr>
          <w:ilvl w:val="0"/>
          <w:numId w:val="1001"/>
        </w:numPr>
        <w:pStyle w:val="Compact"/>
      </w:pPr>
      <w:r>
        <w:rPr>
          <w:bCs/>
          <w:b/>
        </w:rPr>
        <w:t xml:space="preserve">Tourism Infrastructure Expansion:</w:t>
      </w:r>
      <w:r>
        <w:t xml:space="preserve"> </w:t>
      </w:r>
      <w:r>
        <w:t xml:space="preserve">Miami International Airport (MIA) Terminal 4 expansion and the upcoming $300M Convention Center renovations demand 24/7 power reliability. GEG secured a $1.8M contract to manage the electrical design for MIA's new baggage handling system, leveraging our</w:t>
      </w:r>
      <w:r>
        <w:t xml:space="preserve"> </w:t>
      </w:r>
      <w:r>
        <w:rPr>
          <w:bCs/>
          <w:b/>
        </w:rPr>
        <w:t xml:space="preserve">Electrical Engineer</w:t>
      </w:r>
      <w:r>
        <w:t xml:space="preserve">'s aviation code expertise.</w:t>
      </w:r>
    </w:p>
    <w:p>
      <w:pPr>
        <w:numPr>
          <w:ilvl w:val="0"/>
          <w:numId w:val="1001"/>
        </w:numPr>
        <w:pStyle w:val="Compact"/>
      </w:pPr>
      <w:r>
        <w:rPr>
          <w:bCs/>
          <w:b/>
        </w:rPr>
        <w:t xml:space="preserve">Sustainability Mandates:</w:t>
      </w:r>
      <w:r>
        <w:t xml:space="preserve"> </w:t>
      </w:r>
      <w:r>
        <w:t xml:space="preserve">Miami-Dade County's Climate Action Plan requires 30% of new commercial buildings to incorporate solar-ready infrastructure by 2025. Our team's work on the $75M Coral Gables mixed-use development included integrated photovoltaic systems, attracting significant media attention and new leads.</w:t>
      </w:r>
    </w:p>
    <w:bookmarkEnd w:id="21"/>
    <w:bookmarkStart w:id="23" w:name="Xc67788e9eb3d00270f11935e33fdc7887053da9"/>
    <w:p>
      <w:pPr>
        <w:pStyle w:val="Heading2"/>
      </w:pPr>
      <w:r>
        <w:t xml:space="preserve">III. Sales Performance: Key Metrics &amp; Client Acquisition</w:t>
      </w:r>
    </w:p>
    <w:p>
      <w:pPr>
        <w:pStyle w:val="FirstParagraph"/>
      </w:pPr>
      <w:r>
        <w:rPr>
          <w:bCs/>
          <w:b/>
        </w:rPr>
        <w:t xml:space="preserve">United States Miami</w:t>
      </w:r>
      <w:r>
        <w:t xml:space="preserve"> </w:t>
      </w:r>
      <w:r>
        <w:t xml:space="preserve">represented 68% of GEG's total Q3 revenue ($5.9M), exceeding regional targets by 12%. The sales pipeline for the</w:t>
      </w:r>
      <w:r>
        <w:t xml:space="preserve"> </w:t>
      </w:r>
      <w:r>
        <w:rPr>
          <w:bCs/>
          <w:b/>
        </w:rPr>
        <w:t xml:space="preserve">Electrical Engineer</w:t>
      </w:r>
      <w:r>
        <w:t xml:space="preserve">-centric services is now $8.7M, with a 92% conversion rate on qualified leads.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(USD)</w:t>
            </w:r>
          </w:p>
        </w:tc>
        <w:tc>
          <w:tcPr/>
          <w:p>
            <w:pPr>
              <w:pStyle w:val="Compact"/>
              <w:jc w:val="left"/>
            </w:pPr>
            <w:r>
              <w:t xml:space="preserve">YoY Growth</w:t>
            </w:r>
          </w:p>
        </w:tc>
        <w:tc>
          <w:tcPr/>
          <w:p>
            <w:pPr>
              <w:pStyle w:val="Compact"/>
              <w:jc w:val="left"/>
            </w:pPr>
            <w:r>
              <w:t xml:space="preserve">Key Miami Projects</w:t>
            </w:r>
          </w:p>
        </w:tc>
      </w:tr>
      <w:tr>
        <w:tc>
          <w:tcPr/>
          <w:p>
            <w:pPr>
              <w:pStyle w:val="Compact"/>
              <w:jc w:val="left"/>
            </w:pPr>
            <w:r>
              <w:t xml:space="preserve">Commercial Building Design (New Construction)</w:t>
            </w:r>
          </w:p>
        </w:tc>
        <w:tc>
          <w:tcPr/>
          <w:p>
            <w:pPr>
              <w:pStyle w:val="Compact"/>
              <w:jc w:val="left"/>
            </w:pPr>
            <w:r>
              <w:t xml:space="preserve">$2,100,000</w:t>
            </w:r>
          </w:p>
        </w:tc>
        <w:tc>
          <w:tcPr/>
          <w:p>
            <w:pPr>
              <w:pStyle w:val="Compact"/>
              <w:jc w:val="left"/>
            </w:pPr>
            <w:r>
              <w:t xml:space="preserve">+24%</w:t>
            </w:r>
          </w:p>
        </w:tc>
        <w:tc>
          <w:tcPr/>
          <w:p>
            <w:pPr>
              <w:pStyle w:val="Compact"/>
              <w:jc w:val="left"/>
            </w:pPr>
            <w:r>
              <w:t xml:space="preserve">Solé Miamis Luxury Tower (Downtown), Wynwood Arts District Redevelopment</w:t>
            </w:r>
          </w:p>
        </w:tc>
      </w:tr>
      <w:tr>
        <w:tc>
          <w:tcPr/>
          <w:p>
            <w:pPr>
              <w:pStyle w:val="Compact"/>
              <w:jc w:val="left"/>
            </w:pPr>
            <w:r>
              <w:t xml:space="preserve">Municipal &amp; Infrastructure Upgrades</w:t>
            </w:r>
          </w:p>
        </w:tc>
        <w:tc>
          <w:tcPr/>
          <w:p>
            <w:pPr>
              <w:pStyle w:val="Compact"/>
              <w:jc w:val="left"/>
            </w:pPr>
            <w:r>
              <w:t xml:space="preserve">$1,350,000</w:t>
            </w:r>
          </w:p>
        </w:tc>
        <w:tc>
          <w:tcPr/>
          <w:p>
            <w:pPr>
              <w:pStyle w:val="Compact"/>
              <w:jc w:val="left"/>
            </w:pPr>
            <w:r>
              <w:t xml:space="preserve">+15%</w:t>
            </w:r>
          </w:p>
        </w:tc>
        <w:tc>
          <w:tcPr/>
          <w:p>
            <w:pPr>
              <w:pStyle w:val="Compact"/>
              <w:jc w:val="left"/>
            </w:pPr>
            <w:r>
              <w:t xml:space="preserve">Miami Beach Sea Level Rise Mitigation System, City of Miami Street Lighting Modernization</w:t>
            </w:r>
          </w:p>
        </w:tc>
      </w:tr>
      <w:tr>
        <w:tc>
          <w:tcPr/>
          <w:p>
            <w:pPr>
              <w:pStyle w:val="Compact"/>
              <w:jc w:val="left"/>
            </w:pPr>
            <w:r>
              <w:t xml:space="preserve">Residential Complex Electrical Systems (High-Rise)</w:t>
            </w:r>
          </w:p>
        </w:tc>
        <w:tc>
          <w:tcPr/>
          <w:p>
            <w:pPr>
              <w:pStyle w:val="Compact"/>
              <w:jc w:val="left"/>
            </w:pPr>
            <w:r>
              <w:t xml:space="preserve">$725,000</w:t>
            </w:r>
          </w:p>
        </w:tc>
        <w:tc>
          <w:tcPr/>
          <w:p>
            <w:pPr>
              <w:pStyle w:val="Compact"/>
              <w:jc w:val="left"/>
            </w:pPr>
            <w:r>
              <w:t xml:space="preserve">+31%</w:t>
            </w:r>
          </w:p>
        </w:tc>
        <w:tc>
          <w:tcPr/>
          <w:p>
            <w:pPr>
              <w:pStyle w:val="Compact"/>
              <w:jc w:val="left"/>
            </w:pPr>
            <w:r>
              <w:t xml:space="preserve">Coral Gables Luxury Condo Phase 3, Brickell Key Marina Development</w:t>
            </w:r>
          </w:p>
        </w:tc>
      </w:tr>
      <w:tr>
        <w:tc>
          <w:tcPr/>
          <w:p>
            <w:pPr>
              <w:pStyle w:val="Compact"/>
              <w:jc w:val="left"/>
            </w:pPr>
            <w:r>
              <w:t xml:space="preserve">Renewable Integration &amp; Energy Audits</w:t>
            </w:r>
          </w:p>
        </w:tc>
        <w:tc>
          <w:tcPr/>
          <w:p>
            <w:pPr>
              <w:pStyle w:val="Compact"/>
              <w:jc w:val="left"/>
            </w:pPr>
            <w:r>
              <w:t xml:space="preserve">$625,000</w:t>
            </w:r>
          </w:p>
        </w:tc>
        <w:tc>
          <w:tcPr/>
          <w:p>
            <w:pPr>
              <w:pStyle w:val="Compact"/>
              <w:jc w:val="left"/>
            </w:pPr>
            <w:r>
              <w:t xml:space="preserve">+42%</w:t>
            </w:r>
          </w:p>
        </w:tc>
        <w:tc>
          <w:tcPr/>
          <w:p>
            <w:pPr>
              <w:pStyle w:val="Compact"/>
              <w:jc w:val="left"/>
            </w:pPr>
            <w:r>
              <w:t xml:space="preserve">South Pointe Beach Resort Solar Retrofit, Kendall Business Park Microgrid Feasibility Study</w:t>
            </w:r>
          </w:p>
        </w:tc>
      </w:tr>
    </w:tbl>
    <w:bookmarkStart w:id="22" w:name="strategic-client-acquisition-highlights"/>
    <w:p>
      <w:pPr>
        <w:pStyle w:val="Heading3"/>
      </w:pPr>
      <w:r>
        <w:t xml:space="preserve">Strategic Client Acquisition Highlights:</w:t>
      </w:r>
    </w:p>
    <w:p>
      <w:pPr>
        <w:numPr>
          <w:ilvl w:val="0"/>
          <w:numId w:val="1002"/>
        </w:numPr>
        <w:pStyle w:val="Compact"/>
      </w:pPr>
      <w:r>
        <w:t xml:space="preserve">Won the $1.5M contract for the University of Miami's new research facility electrical design after demonstrating our</w:t>
      </w:r>
      <w:r>
        <w:t xml:space="preserve"> </w:t>
      </w:r>
      <w:r>
        <w:rPr>
          <w:bCs/>
          <w:b/>
        </w:rPr>
        <w:t xml:space="preserve">Electrical Engineer</w:t>
      </w:r>
      <w:r>
        <w:t xml:space="preserve">'s expertise in lab-grade power redundancy (a key differentiator from national firms lacking local technical context).</w:t>
      </w:r>
    </w:p>
    <w:p>
      <w:pPr>
        <w:numPr>
          <w:ilvl w:val="0"/>
          <w:numId w:val="1002"/>
        </w:numPr>
        <w:pStyle w:val="Compact"/>
      </w:pPr>
      <w:r>
        <w:t xml:space="preserve">Secured a 3-year master services agreement with the City of Miami Beach, covering all electrical inspections for code-compliant renovations. This deal stems directly from our engineers' deep knowledge of Miami Beach's historic district regulations.</w:t>
      </w:r>
    </w:p>
    <w:p>
      <w:pPr>
        <w:numPr>
          <w:ilvl w:val="0"/>
          <w:numId w:val="1002"/>
        </w:numPr>
        <w:pStyle w:val="Compact"/>
      </w:pPr>
      <w:r>
        <w:t xml:space="preserve">Leveraged a successful pilot project at the Bayside Marketplace to upsell comprehensive energy management systems to 12 retail tenants, generating $350K in recurring service revenue.</w:t>
      </w:r>
    </w:p>
    <w:bookmarkEnd w:id="22"/>
    <w:bookmarkEnd w:id="23"/>
    <w:bookmarkStart w:id="24" w:name="X14b4afec2326ea6ee04a3cf62bef692ab64dc47"/>
    <w:p>
      <w:pPr>
        <w:pStyle w:val="Heading2"/>
      </w:pPr>
      <w:r>
        <w:t xml:space="preserve">IV. Competitive Landscape &amp; GEG's Differentiation</w:t>
      </w:r>
    </w:p>
    <w:p>
      <w:pPr>
        <w:pStyle w:val="FirstParagraph"/>
      </w:pPr>
      <w:r>
        <w:t xml:space="preserve">The Miami market is competitive, with firms like HOK and WSP holding significant share. However, our</w:t>
      </w:r>
      <w:r>
        <w:t xml:space="preserve"> </w:t>
      </w:r>
      <w:r>
        <w:rPr>
          <w:bCs/>
          <w:b/>
        </w:rPr>
        <w:t xml:space="preserve">Electrical Engineer</w:t>
      </w:r>
      <w:r>
        <w:t xml:space="preserve">-focused approach creates a sustainable advantage:</w:t>
      </w:r>
    </w:p>
    <w:p>
      <w:pPr>
        <w:numPr>
          <w:ilvl w:val="0"/>
          <w:numId w:val="1003"/>
        </w:numPr>
        <w:pStyle w:val="Compact"/>
      </w:pPr>
      <w:r>
        <w:rPr>
          <w:bCs/>
          <w:b/>
        </w:rPr>
        <w:t xml:space="preserve">Hyper-Local Expertise:</w:t>
      </w:r>
      <w:r>
        <w:t xml:space="preserve"> </w:t>
      </w:r>
      <w:r>
        <w:t xml:space="preserve">Our Miami-based team understands the nuances of salt-air corrosion mitigation (a top cause of premature failure in coastal areas) and specific utility interconnection requirements with FPL, reducing project timelines by 20%.</w:t>
      </w:r>
    </w:p>
    <w:p>
      <w:pPr>
        <w:numPr>
          <w:ilvl w:val="0"/>
          <w:numId w:val="1003"/>
        </w:numPr>
        <w:pStyle w:val="Compact"/>
      </w:pPr>
      <w:r>
        <w:rPr>
          <w:bCs/>
          <w:b/>
        </w:rPr>
        <w:t xml:space="preserve">National Network, Local Execution:</w:t>
      </w:r>
      <w:r>
        <w:t xml:space="preserve"> </w:t>
      </w:r>
      <w:r>
        <w:t xml:space="preserve">While leveraging GEG's global resources for complex international standards (e.g., IEC 61439), our on-ground</w:t>
      </w:r>
      <w:r>
        <w:t xml:space="preserve"> </w:t>
      </w:r>
      <w:r>
        <w:rPr>
          <w:bCs/>
          <w:b/>
        </w:rPr>
        <w:t xml:space="preserve">Electrical Engineer</w:t>
      </w:r>
      <w:r>
        <w:t xml:space="preserve">s handle all permitting through Miami-Dade County’s online portal system, ensuring faster approvals.</w:t>
      </w:r>
    </w:p>
    <w:p>
      <w:pPr>
        <w:numPr>
          <w:ilvl w:val="0"/>
          <w:numId w:val="1003"/>
        </w:numPr>
        <w:pStyle w:val="Compact"/>
      </w:pPr>
      <w:r>
        <w:rPr>
          <w:bCs/>
          <w:b/>
        </w:rPr>
        <w:t xml:space="preserve">Tech-Forward Solutions:</w:t>
      </w:r>
      <w:r>
        <w:t xml:space="preserve"> </w:t>
      </w:r>
      <w:r>
        <w:t xml:space="preserve">We utilize AI-powered load-flow analysis tools during design phases to optimize panel layouts for new luxury developments, directly appealing to clients seeking maximum space efficiency – a critical factor in high-cost Miami real estate.</w:t>
      </w:r>
    </w:p>
    <w:bookmarkEnd w:id="24"/>
    <w:bookmarkStart w:id="25" w:name="v.-challenges-mitigation-strategies"/>
    <w:p>
      <w:pPr>
        <w:pStyle w:val="Heading2"/>
      </w:pPr>
      <w:r>
        <w:t xml:space="preserve">V. Challenges &amp; Mitigation Strategies</w:t>
      </w:r>
    </w:p>
    <w:p>
      <w:pPr>
        <w:pStyle w:val="FirstParagraph"/>
      </w:pPr>
      <w:r>
        <w:t xml:space="preserve">Key challenges identified include rising material costs (copper up 17% YoY) and workforce shortages for specialized electrical engineers. Our strategies include:</w:t>
      </w:r>
    </w:p>
    <w:p>
      <w:pPr>
        <w:numPr>
          <w:ilvl w:val="0"/>
          <w:numId w:val="1004"/>
        </w:numPr>
        <w:pStyle w:val="Compact"/>
      </w:pPr>
      <w:r>
        <w:t xml:space="preserve">Implementing value-engineering workshops early in the design phase to select cost-effective alternatives without compromising resilience (e.g., using fiber-optic conduits instead of traditional copper where feasible).</w:t>
      </w:r>
    </w:p>
    <w:p>
      <w:pPr>
        <w:numPr>
          <w:ilvl w:val="0"/>
          <w:numId w:val="1004"/>
        </w:numPr>
        <w:pStyle w:val="Compact"/>
      </w:pPr>
      <w:r>
        <w:t xml:space="preserve">Partnering with University of Miami and Florida International University to create a dedicated internship program, securing 8 new engineering graduates for our Miami team – directly addressing local talent gaps.</w:t>
      </w:r>
    </w:p>
    <w:p>
      <w:pPr>
        <w:numPr>
          <w:ilvl w:val="0"/>
          <w:numId w:val="1004"/>
        </w:numPr>
        <w:pStyle w:val="Compact"/>
      </w:pPr>
      <w:r>
        <w:t xml:space="preserve">Developing tiered pricing models that emphasize long-term operational cost savings over initial investment (e.g., highlighting 30% lower maintenance costs for our hurricane-resistant systems).</w:t>
      </w:r>
    </w:p>
    <w:bookmarkEnd w:id="25"/>
    <w:bookmarkStart w:id="26" w:name="X7938f8ef0b3d2db34ccb00fbdde1853b0856c13"/>
    <w:p>
      <w:pPr>
        <w:pStyle w:val="Heading2"/>
      </w:pPr>
      <w:r>
        <w:t xml:space="preserve">VI. Forward-Looking Strategy: Miami's Electrical Future</w:t>
      </w:r>
    </w:p>
    <w:p>
      <w:pPr>
        <w:pStyle w:val="FirstParagraph"/>
      </w:pPr>
      <w:r>
        <w:t xml:space="preserve">The trajectory for electrical engineering services in the</w:t>
      </w:r>
      <w:r>
        <w:t xml:space="preserve"> </w:t>
      </w:r>
      <w:r>
        <w:rPr>
          <w:bCs/>
          <w:b/>
        </w:rPr>
        <w:t xml:space="preserve">United States Miami</w:t>
      </w:r>
      <w:r>
        <w:t xml:space="preserve"> </w:t>
      </w:r>
      <w:r>
        <w:t xml:space="preserve">market is exceptionally strong. We project a 20% CAGR through 2025, fueled by:</w:t>
      </w:r>
    </w:p>
    <w:p>
      <w:pPr>
        <w:numPr>
          <w:ilvl w:val="0"/>
          <w:numId w:val="1005"/>
        </w:numPr>
        <w:pStyle w:val="Compact"/>
      </w:pPr>
      <w:r>
        <w:rPr>
          <w:bCs/>
          <w:b/>
        </w:rPr>
        <w:t xml:space="preserve">Miami Climate Action Plan (MAP) Implementation:</w:t>
      </w:r>
      <w:r>
        <w:t xml:space="preserve"> </w:t>
      </w:r>
      <w:r>
        <w:t xml:space="preserve">Mandates for EV charging infrastructure across all public buildings and developments ($150M+ in potential projects over next 3 years).</w:t>
      </w:r>
    </w:p>
    <w:p>
      <w:pPr>
        <w:numPr>
          <w:ilvl w:val="0"/>
          <w:numId w:val="1005"/>
        </w:numPr>
        <w:pStyle w:val="Compact"/>
      </w:pPr>
      <w:r>
        <w:rPr>
          <w:bCs/>
          <w:b/>
        </w:rPr>
        <w:t xml:space="preserve">Resilience as a Premium Feature:</w:t>
      </w:r>
      <w:r>
        <w:t xml:space="preserve"> </w:t>
      </w:r>
      <w:r>
        <w:t xml:space="preserve">Developers now actively seek firms like GEG whose</w:t>
      </w:r>
      <w:r>
        <w:t xml:space="preserve"> </w:t>
      </w:r>
      <w:r>
        <w:rPr>
          <w:bCs/>
          <w:b/>
        </w:rPr>
        <w:t xml:space="preserve">Electrical Engineer</w:t>
      </w:r>
      <w:r>
        <w:t xml:space="preserve">s can demonstrate system uptime during storms (e.g., our work on the Miami Beach Convention Center ensured zero power disruption during Hurricane Ian's approach).</w:t>
      </w:r>
    </w:p>
    <w:p>
      <w:pPr>
        <w:numPr>
          <w:ilvl w:val="0"/>
          <w:numId w:val="1005"/>
        </w:numPr>
        <w:pStyle w:val="Compact"/>
      </w:pPr>
      <w:r>
        <w:rPr>
          <w:bCs/>
          <w:b/>
        </w:rPr>
        <w:t xml:space="preserve">Solar + Storage Integration:</w:t>
      </w:r>
      <w:r>
        <w:t xml:space="preserve"> </w:t>
      </w:r>
      <w:r>
        <w:t xml:space="preserve">Miami's new "Solar for All" initiative creates massive opportunities for electrical design around residential and community-scale battery storage systems.</w:t>
      </w:r>
    </w:p>
    <w:bookmarkEnd w:id="26"/>
    <w:bookmarkStart w:id="27" w:name="vii.-conclusion"/>
    <w:p>
      <w:pPr>
        <w:pStyle w:val="Heading2"/>
      </w:pPr>
      <w:r>
        <w:t xml:space="preserve">VII. Conclusion</w:t>
      </w:r>
    </w:p>
    <w:p>
      <w:pPr>
        <w:pStyle w:val="FirstParagraph"/>
      </w:pPr>
      <w:r>
        <w:t xml:space="preserve">The Q3 Sales Report confirms that GEG's focus on delivering specialized, locally-adapted</w:t>
      </w:r>
      <w:r>
        <w:t xml:space="preserve"> </w:t>
      </w:r>
      <w:r>
        <w:rPr>
          <w:bCs/>
          <w:b/>
        </w:rPr>
        <w:t xml:space="preserve">Electrical Engineer</w:t>
      </w:r>
      <w:r>
        <w:t xml:space="preserve"> </w:t>
      </w:r>
      <w:r>
        <w:t xml:space="preserve">services is the cornerstone of our success in the demanding and dynamic market of the</w:t>
      </w:r>
      <w:r>
        <w:t xml:space="preserve"> </w:t>
      </w:r>
      <w:r>
        <w:rPr>
          <w:bCs/>
          <w:b/>
        </w:rPr>
        <w:t xml:space="preserve">United States Miami</w:t>
      </w:r>
      <w:r>
        <w:t xml:space="preserve">. Our deep understanding of regional code requirements, climate challenges, and client priorities has not only driven revenue growth but also established us as a trusted partner for Miami's most critical infrastructure projects. To capitalize on this momentum, we recommend increasing our technical marketing budget for webinars on "Miami-Specific Electrical Resilience" and expanding the Miami team by 5 licensed</w:t>
      </w:r>
      <w:r>
        <w:t xml:space="preserve"> </w:t>
      </w:r>
      <w:r>
        <w:rPr>
          <w:bCs/>
          <w:b/>
        </w:rPr>
        <w:t xml:space="preserve">Electrical Engineer</w:t>
      </w:r>
      <w:r>
        <w:t xml:space="preserve">s in Q1 2024. The future of electrical engineering in Miami is resilient, sustainable, and undeniably profitable – and GEG is positioned to lead this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United States Miami Market</dc:title>
  <dc:creator/>
  <dc:language>en</dc:language>
  <cp:keywords/>
  <dcterms:created xsi:type="dcterms:W3CDTF">2026-07-21T07:30:32Z</dcterms:created>
  <dcterms:modified xsi:type="dcterms:W3CDTF">2026-07-21T07:30:32Z</dcterms:modified>
</cp:coreProperties>
</file>

<file path=docProps/custom.xml><?xml version="1.0" encoding="utf-8"?>
<Properties xmlns="http://schemas.openxmlformats.org/officeDocument/2006/custom-properties" xmlns:vt="http://schemas.openxmlformats.org/officeDocument/2006/docPropsVTypes"/>
</file>