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w:t>
      </w:r>
      <w:r>
        <w:t xml:space="preserve"> </w:t>
      </w:r>
      <w:r>
        <w:t xml:space="preserve">Egypt</w:t>
      </w:r>
      <w:r>
        <w:t xml:space="preserve"> </w:t>
      </w:r>
      <w:r>
        <w:t xml:space="preserve">Alexandria</w:t>
      </w:r>
    </w:p>
    <w:bookmarkStart w:id="29" w:name="X1223548568ac9cf68870e1687b48b69a32ef4ac"/>
    <w:p>
      <w:pPr>
        <w:pStyle w:val="Heading1"/>
      </w:pPr>
      <w:r>
        <w:t xml:space="preserve">Sales Report: Electrician Services Performance in Egypt Alexandria (Q3 2024)</w:t>
      </w:r>
    </w:p>
    <w:p>
      <w:pPr>
        <w:pStyle w:val="FirstParagraph"/>
      </w:pPr>
      <w:r>
        <w:rPr>
          <w:bCs/>
          <w:b/>
        </w:rPr>
        <w:t xml:space="preserve">Prepared For:</w:t>
      </w:r>
      <w:r>
        <w:t xml:space="preserve"> </w:t>
      </w:r>
      <w:r>
        <w:t xml:space="preserve">Executive Management, Alexandria Regional Office</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report details the performance of our core service line—</w:t>
      </w:r>
      <w:r>
        <w:rPr>
          <w:bCs/>
          <w:b/>
        </w:rPr>
        <w:t xml:space="preserve">Electrician Services</w:t>
      </w:r>
      <w:r>
        <w:t xml:space="preserve">—across the</w:t>
      </w:r>
      <w:r>
        <w:t xml:space="preserve"> </w:t>
      </w:r>
      <w:r>
        <w:rPr>
          <w:bCs/>
          <w:b/>
        </w:rPr>
        <w:t xml:space="preserve">Egypt Alexandria</w:t>
      </w:r>
      <w:r>
        <w:t xml:space="preserve"> </w:t>
      </w:r>
      <w:r>
        <w:t xml:space="preserve">market during Q3 2024. The quarter demonstrated robust growth, driven by increased residential modernization projects, commercial infrastructure upgrades, and strategic partnerships within key districts of</w:t>
      </w:r>
      <w:r>
        <w:t xml:space="preserve"> </w:t>
      </w:r>
      <w:r>
        <w:rPr>
          <w:bCs/>
          <w:b/>
        </w:rPr>
        <w:t xml:space="preserve">Egypt Alexandria</w:t>
      </w:r>
      <w:r>
        <w:t xml:space="preserve">. Total sales revenue reached EGP 8.7 million, representing a 15% year-over-year (YoY) increase and exceeding Q3 targets by 7%. This success underscores the critical demand for professional</w:t>
      </w:r>
      <w:r>
        <w:t xml:space="preserve"> </w:t>
      </w:r>
      <w:r>
        <w:rPr>
          <w:bCs/>
          <w:b/>
        </w:rPr>
        <w:t xml:space="preserve">Electrician</w:t>
      </w:r>
      <w:r>
        <w:t xml:space="preserve"> </w:t>
      </w:r>
      <w:r>
        <w:t xml:space="preserve">services in Alexandria’s evolving urban landscape.</w:t>
      </w:r>
    </w:p>
    <w:bookmarkEnd w:id="20"/>
    <w:bookmarkStart w:id="21" w:name="X52e3fedfaa3924d5a75c9ad1576d59d456c5932"/>
    <w:p>
      <w:pPr>
        <w:pStyle w:val="Heading2"/>
      </w:pPr>
      <w:r>
        <w:t xml:space="preserve">II. Market Context: Egypt Alexandria Demand Analysis</w:t>
      </w:r>
    </w:p>
    <w:p>
      <w:pPr>
        <w:pStyle w:val="FirstParagraph"/>
      </w:pPr>
      <w:r>
        <w:rPr>
          <w:bCs/>
          <w:b/>
        </w:rPr>
        <w:t xml:space="preserve">Egypt Alexandria</w:t>
      </w:r>
      <w:r>
        <w:t xml:space="preserve">, as the nation’s second-largest city and a major economic hub, faces unique electrical infrastructure challenges. Aging residential buildings in historic districts (e.g., Ramleh, Montazah) require urgent rewiring, while new developments along the Corniche and Al-Mansoura Road demand modern electrical systems. The Egyptian government’s "Egypt Vision 2030" initiatives further accelerate commercial and industrial electrification projects across Alexandria. Consequently, qualified</w:t>
      </w:r>
      <w:r>
        <w:t xml:space="preserve"> </w:t>
      </w:r>
      <w:r>
        <w:rPr>
          <w:bCs/>
          <w:b/>
        </w:rPr>
        <w:t xml:space="preserve">Electrician</w:t>
      </w:r>
      <w:r>
        <w:t xml:space="preserve"> </w:t>
      </w:r>
      <w:r>
        <w:t xml:space="preserve">services are not merely a commodity but a necessity for safety compliance and energy efficiency. Our localized market focus on Alexandria—understanding its specific building codes, seasonal load demands (e.g., summer peak usage), and cultural preferences—has been pivotal to our growth.</w:t>
      </w:r>
    </w:p>
    <w:bookmarkEnd w:id="21"/>
    <w:bookmarkStart w:id="25" w:name="iii.-q3-2024-sales-performance-breakdown"/>
    <w:p>
      <w:pPr>
        <w:pStyle w:val="Heading2"/>
      </w:pPr>
      <w:r>
        <w:t xml:space="preserve">III. Q3 2024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Revenue (EGP)</w:t>
            </w:r>
          </w:p>
        </w:tc>
        <w:tc>
          <w:tcPr/>
          <w:p>
            <w:pPr>
              <w:pStyle w:val="Compact"/>
              <w:jc w:val="left"/>
            </w:pPr>
            <w:r>
              <w:t xml:space="preserve">% of Total</w:t>
            </w:r>
          </w:p>
        </w:tc>
        <w:tc>
          <w:tcPr/>
          <w:p>
            <w:pPr>
              <w:pStyle w:val="Compact"/>
              <w:jc w:val="left"/>
            </w:pPr>
            <w:r>
              <w:t xml:space="preserve">YoY Change</w:t>
            </w:r>
          </w:p>
        </w:tc>
      </w:tr>
      <w:tr>
        <w:tc>
          <w:tcPr/>
          <w:p>
            <w:pPr>
              <w:pStyle w:val="Compact"/>
              <w:jc w:val="left"/>
            </w:pPr>
            <w:r>
              <w:t xml:space="preserve">Residential Wiring &amp; Upgrades</w:t>
            </w:r>
          </w:p>
        </w:tc>
        <w:tc>
          <w:tcPr/>
          <w:p>
            <w:pPr>
              <w:pStyle w:val="Compact"/>
              <w:jc w:val="left"/>
            </w:pPr>
            <w:r>
              <w:t xml:space="preserve">4,250,000</w:t>
            </w:r>
          </w:p>
        </w:tc>
        <w:tc>
          <w:tcPr/>
          <w:p>
            <w:pPr>
              <w:pStyle w:val="Compact"/>
              <w:jc w:val="left"/>
            </w:pPr>
            <w:r>
              <w:t xml:space="preserve">48.8%</w:t>
            </w:r>
          </w:p>
        </w:tc>
        <w:tc>
          <w:tcPr/>
          <w:p>
            <w:pPr>
              <w:pStyle w:val="Compact"/>
              <w:jc w:val="left"/>
            </w:pPr>
            <w:r>
              <w:t xml:space="preserve">+12.3%</w:t>
            </w:r>
          </w:p>
        </w:tc>
      </w:tr>
      <w:tr>
        <w:tc>
          <w:tcPr/>
          <w:p>
            <w:pPr>
              <w:pStyle w:val="Compact"/>
              <w:jc w:val="left"/>
            </w:pPr>
            <w:r>
              <w:t xml:space="preserve">Commercial Installations (Offices/Hotels)</w:t>
            </w:r>
          </w:p>
        </w:tc>
        <w:tc>
          <w:tcPr/>
          <w:p>
            <w:pPr>
              <w:pStyle w:val="Compact"/>
              <w:jc w:val="left"/>
            </w:pPr>
            <w:r>
              <w:t xml:space="preserve">2,975,000</w:t>
            </w:r>
          </w:p>
        </w:tc>
        <w:tc>
          <w:tcPr/>
          <w:p>
            <w:pPr>
              <w:pStyle w:val="Compact"/>
              <w:jc w:val="left"/>
            </w:pPr>
            <w:r>
              <w:t xml:space="preserve">34.2%</w:t>
            </w:r>
          </w:p>
        </w:tc>
        <w:tc>
          <w:tcPr/>
          <w:p>
            <w:pPr>
              <w:pStyle w:val="Compact"/>
              <w:jc w:val="left"/>
            </w:pPr>
            <w:r>
              <w:t xml:space="preserve">+19.6%</w:t>
            </w:r>
          </w:p>
        </w:tc>
      </w:tr>
      <w:tr>
        <w:tc>
          <w:tcPr/>
          <w:p>
            <w:pPr>
              <w:pStyle w:val="Compact"/>
              <w:jc w:val="left"/>
            </w:pPr>
            <w:r>
              <w:t xml:space="preserve">Maintenance &amp; Emergency Repairs</w:t>
            </w:r>
          </w:p>
        </w:tc>
        <w:tc>
          <w:tcPr/>
          <w:p>
            <w:pPr>
              <w:pStyle w:val="Compact"/>
              <w:jc w:val="left"/>
            </w:pPr>
            <w:r>
              <w:t xml:space="preserve">1,475,000</w:t>
            </w:r>
          </w:p>
        </w:tc>
        <w:tc>
          <w:tcPr/>
          <w:p>
            <w:pPr>
              <w:pStyle w:val="Compact"/>
              <w:jc w:val="left"/>
            </w:pPr>
            <w:r>
              <w:t xml:space="preserve">17.0%</w:t>
            </w:r>
          </w:p>
        </w:tc>
        <w:tc>
          <w:tcPr/>
          <w:p>
            <w:pPr>
              <w:pStyle w:val="Compact"/>
              <w:jc w:val="left"/>
            </w:pPr>
            <w:r>
              <w:t xml:space="preserve">+8.5%</w:t>
            </w:r>
          </w:p>
        </w:tc>
      </w:tr>
      <w:tr>
        <w:tc>
          <w:tcPr/>
          <w:p>
            <w:pPr>
              <w:pStyle w:val="Compact"/>
              <w:jc w:val="left"/>
            </w:pPr>
            <w:r>
              <w:t xml:space="preserve">Total</w:t>
            </w:r>
          </w:p>
        </w:tc>
        <w:tc>
          <w:tcPr/>
          <w:p>
            <w:pPr>
              <w:pStyle w:val="Compact"/>
              <w:jc w:val="left"/>
            </w:pPr>
            <w:r>
              <w:rPr>
                <w:bCs/>
                <w:b/>
              </w:rPr>
              <w:t xml:space="preserve">8,700,000</w:t>
            </w:r>
          </w:p>
        </w:tc>
        <w:tc>
          <w:tcPr/>
          <w:p>
            <w:pPr>
              <w:pStyle w:val="Compact"/>
              <w:jc w:val="left"/>
            </w:pPr>
            <w:r>
              <w:rPr>
                <w:bCs/>
                <w:b/>
              </w:rPr>
              <w:t xml:space="preserve">100%</w:t>
            </w:r>
          </w:p>
        </w:tc>
        <w:tc>
          <w:tcPr/>
          <w:p>
            <w:pPr>
              <w:pStyle w:val="Compact"/>
              <w:jc w:val="left"/>
            </w:pPr>
            <w:r>
              <w:rPr>
                <w:bCs/>
                <w:b/>
              </w:rPr>
              <w:t xml:space="preserve">+15.2%</w:t>
            </w:r>
          </w:p>
        </w:tc>
      </w:tr>
    </w:tbl>
    <w:bookmarkStart w:id="22" w:name="a.-residential-segment-driving-growth"/>
    <w:p>
      <w:pPr>
        <w:pStyle w:val="Heading3"/>
      </w:pPr>
      <w:r>
        <w:t xml:space="preserve">A. Residential Segment: Driving Growth</w:t>
      </w:r>
    </w:p>
    <w:p>
      <w:pPr>
        <w:pStyle w:val="FirstParagraph"/>
      </w:pPr>
      <w:r>
        <w:t xml:space="preserve">The residential market in</w:t>
      </w:r>
      <w:r>
        <w:t xml:space="preserve"> </w:t>
      </w:r>
      <w:r>
        <w:rPr>
          <w:bCs/>
          <w:b/>
        </w:rPr>
        <w:t xml:space="preserve">Egypt Alexandria</w:t>
      </w:r>
      <w:r>
        <w:t xml:space="preserve"> </w:t>
      </w:r>
      <w:r>
        <w:t xml:space="preserve">contributed the largest share of sales, fueled by post-holiday home renovations and the government’s subsidized solar panel installation program. Our specialized team completed 420 residential projects (up 18% YoY), primarily focused on safety upgrades for older homes in areas like Hadra and Sidi Gaber. Customer feedback highlighted our adherence to Egyptian Electrical Code (EEC) standards as a key differentiator, with a 92% satisfaction rate—a significant uplift from Q2’s 85%. We successfully partnered with local real estate developers to integrate certified</w:t>
      </w:r>
      <w:r>
        <w:t xml:space="preserve"> </w:t>
      </w:r>
      <w:r>
        <w:rPr>
          <w:bCs/>
          <w:b/>
        </w:rPr>
        <w:t xml:space="preserve">Electrician</w:t>
      </w:r>
      <w:r>
        <w:t xml:space="preserve"> </w:t>
      </w:r>
      <w:r>
        <w:t xml:space="preserve">services into new apartment launches.</w:t>
      </w:r>
    </w:p>
    <w:bookmarkEnd w:id="22"/>
    <w:bookmarkStart w:id="23" w:name="Xf82cf3ffe399131fc6fa3c27f5a0db3f641ceef"/>
    <w:p>
      <w:pPr>
        <w:pStyle w:val="Heading3"/>
      </w:pPr>
      <w:r>
        <w:t xml:space="preserve">B. Commercial Expansion: Strategic Partnerships</w:t>
      </w:r>
    </w:p>
    <w:p>
      <w:pPr>
        <w:pStyle w:val="FirstParagraph"/>
      </w:pPr>
      <w:r>
        <w:t xml:space="preserve">The commercial sector saw the strongest growth, driven by contracts with major hotel chains (e.g., Steigenberger, Hilton) and retail complexes in Alexandria’s Mall of Alexandria zone. Our team executed critical electrical installations for 12 new commercial projects, including energy-efficient lighting retrofits and emergency power systems. This segment’s success was attributed to our certified</w:t>
      </w:r>
      <w:r>
        <w:t xml:space="preserve"> </w:t>
      </w:r>
      <w:r>
        <w:rPr>
          <w:bCs/>
          <w:b/>
        </w:rPr>
        <w:t xml:space="preserve">Electrician</w:t>
      </w:r>
      <w:r>
        <w:t xml:space="preserve"> </w:t>
      </w:r>
      <w:r>
        <w:t xml:space="preserve">workforce (all holding Egyptian Ministry of Electricity licenses) and our rapid response times during peak construction seasons in Alexandria.</w:t>
      </w:r>
    </w:p>
    <w:bookmarkEnd w:id="23"/>
    <w:bookmarkStart w:id="24" w:name="X85e3c1a8c1e48423ad8e908106aa007e679e716"/>
    <w:p>
      <w:pPr>
        <w:pStyle w:val="Heading3"/>
      </w:pPr>
      <w:r>
        <w:t xml:space="preserve">C. Maintenance &amp; Emergency Services: Building Trust</w:t>
      </w:r>
    </w:p>
    <w:p>
      <w:pPr>
        <w:pStyle w:val="FirstParagraph"/>
      </w:pPr>
      <w:r>
        <w:t xml:space="preserve">Emergency repairs (e.g., fault detection, blackout resolution) surged by 25% due to Alexandria’s extreme summer weather conditions. Our 24/7 hotline service—promoted via local social media campaigns targeting Alexandrian households—generated consistent demand. The maintenance division reported a 30% increase in retainer contracts from commercial clients, signaling strong trust in our</w:t>
      </w:r>
      <w:r>
        <w:t xml:space="preserve"> </w:t>
      </w:r>
      <w:r>
        <w:rPr>
          <w:bCs/>
          <w:b/>
        </w:rPr>
        <w:t xml:space="preserve">Electrician</w:t>
      </w:r>
      <w:r>
        <w:t xml:space="preserve"> </w:t>
      </w:r>
      <w:r>
        <w:t xml:space="preserve">reliability for Alexandria’s critical infrastructure.</w:t>
      </w:r>
    </w:p>
    <w:bookmarkEnd w:id="24"/>
    <w:bookmarkEnd w:id="25"/>
    <w:bookmarkStart w:id="26" w:name="X02d05ff0d14a07a8b97a640d0e415cce6f8e6df"/>
    <w:p>
      <w:pPr>
        <w:pStyle w:val="Heading2"/>
      </w:pPr>
      <w:r>
        <w:t xml:space="preserve">IV. Key Customer Insights from Egypt Alexandria</w:t>
      </w:r>
    </w:p>
    <w:p>
      <w:pPr>
        <w:pStyle w:val="FirstParagraph"/>
      </w:pPr>
      <w:r>
        <w:t xml:space="preserve">Field surveys conducted across 150+ Alexandrian clients revealed:</w:t>
      </w:r>
    </w:p>
    <w:p>
      <w:pPr>
        <w:numPr>
          <w:ilvl w:val="0"/>
          <w:numId w:val="1001"/>
        </w:numPr>
        <w:pStyle w:val="Compact"/>
      </w:pPr>
      <w:r>
        <w:rPr>
          <w:iCs/>
          <w:i/>
        </w:rPr>
        <w:t xml:space="preserve">"Your electricians understand the unique challenges of old Egyptian homes in Montazah. They didn’t just fix wires—they upgraded safety."</w:t>
      </w:r>
      <w:r>
        <w:t xml:space="preserve"> </w:t>
      </w:r>
      <w:r>
        <w:t xml:space="preserve">– Sarah M., Residential Client (Kobry El-Deek)</w:t>
      </w:r>
    </w:p>
    <w:p>
      <w:pPr>
        <w:numPr>
          <w:ilvl w:val="0"/>
          <w:numId w:val="1001"/>
        </w:numPr>
        <w:pStyle w:val="Compact"/>
      </w:pPr>
      <w:r>
        <w:rPr>
          <w:iCs/>
          <w:i/>
        </w:rPr>
        <w:t xml:space="preserve">"The quick response during our Mall of Alexandria renovation saved us weeks of downtime." – Ahmed R., Commercial Project Manager</w:t>
      </w:r>
    </w:p>
    <w:p>
      <w:pPr>
        <w:numPr>
          <w:ilvl w:val="0"/>
          <w:numId w:val="1001"/>
        </w:numPr>
        <w:pStyle w:val="Compact"/>
      </w:pPr>
      <w:r>
        <w:t xml:space="preserve">87% of clients cited "local expertise" (e.g., navigating Alexandria’s building permits) as the top reason for choosing our services over national competitors.</w:t>
      </w:r>
    </w:p>
    <w:bookmarkEnd w:id="26"/>
    <w:bookmarkStart w:id="27" w:name="X285f11e1504b3a4b0c5e1129089eeadacd2835f"/>
    <w:p>
      <w:pPr>
        <w:pStyle w:val="Heading2"/>
      </w:pPr>
      <w:r>
        <w:t xml:space="preserve">V. Challenges &amp; Strategic Recommendations for Egypt Alexandria</w:t>
      </w:r>
    </w:p>
    <w:p>
      <w:pPr>
        <w:pStyle w:val="FirstParagraph"/>
      </w:pPr>
      <w:r>
        <w:rPr>
          <w:bCs/>
          <w:b/>
        </w:rPr>
        <w:t xml:space="preserve">Challenges:</w:t>
      </w:r>
      <w:r>
        <w:t xml:space="preserve"> </w:t>
      </w:r>
      <w:r>
        <w:t xml:space="preserve">• Rising material costs impacted profit margins by 4.5% in Q3.</w:t>
      </w:r>
      <w:r>
        <w:t xml:space="preserve"> </w:t>
      </w:r>
      <w:r>
        <w:t xml:space="preserve">• Shortage of certified apprentices in Alexandria’s training centers slowed project scaling.</w:t>
      </w:r>
      <w:r>
        <w:t xml:space="preserve"> </w:t>
      </w:r>
      <w:r>
        <w:t xml:space="preserve">• Competition from unlicensed operators offering lower prices (primarily in informal sectors).</w:t>
      </w:r>
    </w:p>
    <w:p>
      <w:pPr>
        <w:pStyle w:val="BodyText"/>
      </w:pPr>
      <w:r>
        <w:rPr>
          <w:bCs/>
          <w:b/>
        </w:rPr>
        <w:t xml:space="preserve">Strategic Actions:</w:t>
      </w:r>
      <w:r>
        <w:t xml:space="preserve"> </w:t>
      </w:r>
      <w:r>
        <w:t xml:space="preserve">1.</w:t>
      </w:r>
      <w:r>
        <w:t xml:space="preserve"> </w:t>
      </w:r>
      <w:r>
        <w:rPr>
          <w:bCs/>
          <w:b/>
        </w:rPr>
        <w:t xml:space="preserve">Launch Alexandria Apprenticeship Program:</w:t>
      </w:r>
      <w:r>
        <w:t xml:space="preserve"> </w:t>
      </w:r>
      <w:r>
        <w:t xml:space="preserve">Partner with Alexandria Technical College to train 30 new electricians by Q2 2025, addressing local talent gaps and reinforcing our "Egypt Alexandria" community commitment.</w:t>
      </w:r>
      <w:r>
        <w:t xml:space="preserve"> </w:t>
      </w:r>
      <w:r>
        <w:t xml:space="preserve">2.</w:t>
      </w:r>
      <w:r>
        <w:t xml:space="preserve"> </w:t>
      </w:r>
      <w:r>
        <w:rPr>
          <w:bCs/>
          <w:b/>
        </w:rPr>
        <w:t xml:space="preserve">Expand Solar Integration Services:</w:t>
      </w:r>
      <w:r>
        <w:t xml:space="preserve"> </w:t>
      </w:r>
      <w:r>
        <w:t xml:space="preserve">Capitalize on Egypt’s renewable energy push; offer bundled electrical/solar packages for residential clients in Alexandria.</w:t>
      </w:r>
      <w:r>
        <w:t xml:space="preserve"> </w:t>
      </w:r>
      <w:r>
        <w:t xml:space="preserve">3.</w:t>
      </w:r>
      <w:r>
        <w:t xml:space="preserve"> </w:t>
      </w:r>
      <w:r>
        <w:rPr>
          <w:bCs/>
          <w:b/>
        </w:rPr>
        <w:t xml:space="preserve">Enhance Digital Marketing in Alexandria:</w:t>
      </w:r>
      <w:r>
        <w:t xml:space="preserve"> </w:t>
      </w:r>
      <w:r>
        <w:t xml:space="preserve">Target localized Facebook/Instagram campaigns focusing on "Egyptian-Compliant Electrical Safety" to counter unlicensed competitors.</w:t>
      </w:r>
      <w:r>
        <w:t xml:space="preserve"> </w:t>
      </w:r>
      <w:r>
        <w:t xml:space="preserve">4.</w:t>
      </w:r>
      <w:r>
        <w:t xml:space="preserve"> </w:t>
      </w:r>
      <w:r>
        <w:rPr>
          <w:bCs/>
          <w:b/>
        </w:rPr>
        <w:t xml:space="preserve">Negotiate Bulk Material Contracts:</w:t>
      </w:r>
      <w:r>
        <w:t xml:space="preserve"> </w:t>
      </w:r>
      <w:r>
        <w:t xml:space="preserve">Secure partnerships with suppliers to stabilize costs for the Alexandria market.</w:t>
      </w:r>
    </w:p>
    <w:bookmarkEnd w:id="27"/>
    <w:bookmarkStart w:id="28" w:name="vi.-conclusion"/>
    <w:p>
      <w:pPr>
        <w:pStyle w:val="Heading2"/>
      </w:pPr>
      <w:r>
        <w:t xml:space="preserve">VI. Conclusion</w:t>
      </w:r>
    </w:p>
    <w:p>
      <w:pPr>
        <w:pStyle w:val="FirstParagraph"/>
      </w:pPr>
      <w:r>
        <w:t xml:space="preserve">The Q3 2024 performance underscores that professional, licensed</w:t>
      </w:r>
      <w:r>
        <w:t xml:space="preserve"> </w:t>
      </w:r>
      <w:r>
        <w:rPr>
          <w:bCs/>
          <w:b/>
        </w:rPr>
        <w:t xml:space="preserve">Electrician</w:t>
      </w:r>
      <w:r>
        <w:t xml:space="preserve"> </w:t>
      </w:r>
      <w:r>
        <w:t xml:space="preserve">services are deeply valued across the spectrum of Alexandria’s residential, commercial, and municipal sectors. Our growth in</w:t>
      </w:r>
      <w:r>
        <w:t xml:space="preserve"> </w:t>
      </w:r>
      <w:r>
        <w:rPr>
          <w:bCs/>
          <w:b/>
        </w:rPr>
        <w:t xml:space="preserve">Egypt Alexandria</w:t>
      </w:r>
      <w:r>
        <w:t xml:space="preserve"> </w:t>
      </w:r>
      <w:r>
        <w:t xml:space="preserve">is not accidental—it stems from hyper-localized service delivery aligned with Egyptian regulations and regional needs. As infrastructure demands accelerate in this dynamic city, our strategic focus on training, safety compliance, and community engagement positions us for sustained leadership. We project Q4 2024 revenue growth of 12–15%, driven by upcoming projects in Alexandria’s new industrial zones and the continuation of Egypt Vision 2030 initiatives. The future of electrical services in</w:t>
      </w:r>
      <w:r>
        <w:t xml:space="preserve"> </w:t>
      </w:r>
      <w:r>
        <w:rPr>
          <w:bCs/>
          <w:b/>
        </w:rPr>
        <w:t xml:space="preserve">Egypt Alexandria</w:t>
      </w:r>
      <w:r>
        <w:t xml:space="preserve"> </w:t>
      </w:r>
      <w:r>
        <w:t xml:space="preserve">is bright, and our team is ready to power it forward.</w:t>
      </w:r>
    </w:p>
    <w:p>
      <w:pPr>
        <w:pStyle w:val="BodyText"/>
      </w:pPr>
      <w:r>
        <w:rPr>
          <w:iCs/>
          <w:i/>
        </w:rPr>
        <w:t xml:space="preserve">"In Egypt Alexandria, reliable electricity isn’t just convenience—it’s the foundation for progress. We deliver that foundation with every job." – Mohamed Hassan, Regional Sales Director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 Egypt Alexandria</dc:title>
  <dc:creator/>
  <dc:language>en</dc:language>
  <cp:keywords/>
  <dcterms:created xsi:type="dcterms:W3CDTF">2026-07-23T21:04:12Z</dcterms:created>
  <dcterms:modified xsi:type="dcterms:W3CDTF">2026-07-23T21:04:12Z</dcterms:modified>
</cp:coreProperties>
</file>

<file path=docProps/custom.xml><?xml version="1.0" encoding="utf-8"?>
<Properties xmlns="http://schemas.openxmlformats.org/officeDocument/2006/custom-properties" xmlns:vt="http://schemas.openxmlformats.org/officeDocument/2006/docPropsVTypes"/>
</file>