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Berlin</w:t>
      </w:r>
      <w:r>
        <w:t xml:space="preserve"> </w:t>
      </w:r>
      <w:r>
        <w:t xml:space="preserve">Market</w:t>
      </w:r>
      <w:r>
        <w:t xml:space="preserve"> </w:t>
      </w:r>
      <w:r>
        <w:t xml:space="preserve">Analysis</w:t>
      </w:r>
    </w:p>
    <w:bookmarkStart w:id="35" w:name="Xdba3cc78be4891c2b1a74dd2d1b23e7858b9756"/>
    <w:p>
      <w:pPr>
        <w:pStyle w:val="Heading1"/>
      </w:pPr>
      <w:r>
        <w:t xml:space="preserve">Comprehensive Sales Report: Electrical Services Performance in Berlin,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Berlin Electrical Solutions GmbH</w:t>
      </w:r>
      <w:r>
        <w:br/>
      </w:r>
      <w:r>
        <w:rPr>
          <w:bCs/>
          <w:b/>
        </w:rPr>
        <w:t xml:space="preserve">Report Period:</w:t>
      </w:r>
      <w:r>
        <w:t xml:space="preserve"> </w:t>
      </w:r>
      <w:r>
        <w:t xml:space="preserve">Q1-Q3 2023</w:t>
      </w:r>
    </w:p>
    <w:bookmarkStart w:id="20" w:name="executive-summary"/>
    <w:p>
      <w:pPr>
        <w:pStyle w:val="Heading2"/>
      </w:pPr>
      <w:r>
        <w:t xml:space="preserve">Executive Summary</w:t>
      </w:r>
    </w:p>
    <w:p>
      <w:pPr>
        <w:pStyle w:val="FirstParagraph"/>
      </w:pPr>
      <w:r>
        <w:t xml:space="preserve">This report details the sales performance of Berlin Electrical Solutions GmbH (BESG), a leading provider of electrical services across Germany Berlin. Operating within Germany's stringent electrical regulations, BESG has achieved a 15.7% year-over-year growth in service revenue, generating €2.87 million during Q1-Q3 2023. The report analyzes market dynamics specific to Berlin's unique urban landscape, identifies key customer segments driving sales, and outlines strategic priorities for sustainable expansion within Germany's competitive electrical services sector.</w:t>
      </w:r>
    </w:p>
    <w:bookmarkEnd w:id="20"/>
    <w:bookmarkStart w:id="21" w:name="X11f691298e0ec6ebcef98b110aa15fed58fb93d"/>
    <w:p>
      <w:pPr>
        <w:pStyle w:val="Heading2"/>
      </w:pPr>
      <w:r>
        <w:t xml:space="preserve">Market Context: Electrical Services in Berlin, Germany</w:t>
      </w:r>
    </w:p>
    <w:p>
      <w:pPr>
        <w:pStyle w:val="FirstParagraph"/>
      </w:pPr>
      <w:r>
        <w:t xml:space="preserve">Berlin represents a critical market for electrical service providers due to its status as Germany's capital city with 3.7 million residents and 18,000+ commercial properties requiring regular electrical maintenance. The German Electrical Engineering Association (ZVEI) reports that Berlin's electrical services market grew at 4.2% annually (2021-2023), outpacing the national average of 3.1%. This growth is fueled by Germany's</w:t>
      </w:r>
      <w:r>
        <w:t xml:space="preserve"> </w:t>
      </w:r>
      <w:r>
        <w:rPr>
          <w:iCs/>
          <w:i/>
        </w:rPr>
        <w:t xml:space="preserve">Energiewende</w:t>
      </w:r>
      <w:r>
        <w:t xml:space="preserve"> </w:t>
      </w:r>
      <w:r>
        <w:t xml:space="preserve">(energy transition policy), which mandates modernization of electrical infrastructure in aging buildings across Berlin. BESG has positioned itself as a specialist for Berlin's unique challenges: historic building retrofits, dense urban installations, and compliance with Berlin's strict energy efficiency ordinances.</w:t>
      </w:r>
    </w:p>
    <w:bookmarkEnd w:id="21"/>
    <w:bookmarkStart w:id="24" w:name="q1-q3-2023-sales-performance"/>
    <w:p>
      <w:pPr>
        <w:pStyle w:val="Heading2"/>
      </w:pPr>
      <w:r>
        <w:t xml:space="preserve">Q1-Q3 2023 Sales Performance</w:t>
      </w:r>
    </w:p>
    <w:bookmarkStart w:id="22" w:name="revenue-breakdown-by-service-category"/>
    <w:p>
      <w:pPr>
        <w:pStyle w:val="Heading3"/>
      </w:pPr>
      <w:r>
        <w:t xml:space="preserve">Revenue Breakdown by Service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Residential Electrical Installations</w:t>
            </w:r>
          </w:p>
        </w:tc>
        <w:tc>
          <w:tcPr/>
          <w:p>
            <w:pPr>
              <w:pStyle w:val="Compact"/>
              <w:jc w:val="left"/>
            </w:pPr>
            <w:r>
              <w:t xml:space="preserve">1,245,000</w:t>
            </w:r>
          </w:p>
        </w:tc>
        <w:tc>
          <w:tcPr/>
          <w:p>
            <w:pPr>
              <w:pStyle w:val="Compact"/>
              <w:jc w:val="left"/>
            </w:pPr>
            <w:r>
              <w:t xml:space="preserve">43.4%</w:t>
            </w:r>
          </w:p>
        </w:tc>
        <w:tc>
          <w:tcPr/>
          <w:p>
            <w:pPr>
              <w:pStyle w:val="Compact"/>
              <w:jc w:val="left"/>
            </w:pPr>
            <w:r>
              <w:t xml:space="preserve">+12.1%</w:t>
            </w:r>
          </w:p>
        </w:tc>
      </w:tr>
      <w:tr>
        <w:tc>
          <w:tcPr/>
          <w:p>
            <w:pPr>
              <w:pStyle w:val="Compact"/>
              <w:jc w:val="left"/>
            </w:pPr>
            <w:r>
              <w:t xml:space="preserve">Commercial Maintenance Contracts</w:t>
            </w:r>
          </w:p>
        </w:tc>
        <w:tc>
          <w:tcPr/>
          <w:p>
            <w:pPr>
              <w:pStyle w:val="Compact"/>
              <w:jc w:val="left"/>
            </w:pPr>
            <w:r>
              <w:t xml:space="preserve">987,500</w:t>
            </w:r>
          </w:p>
        </w:tc>
        <w:tc>
          <w:tcPr/>
          <w:p>
            <w:pPr>
              <w:pStyle w:val="Compact"/>
              <w:jc w:val="left"/>
            </w:pPr>
            <w:r>
              <w:t xml:space="preserve">34.4%</w:t>
            </w:r>
          </w:p>
        </w:tc>
        <w:tc>
          <w:tcPr/>
          <w:p>
            <w:pPr>
              <w:pStyle w:val="Compact"/>
              <w:jc w:val="left"/>
            </w:pPr>
            <w:r>
              <w:t xml:space="preserve">+22.6%*</w:t>
            </w:r>
          </w:p>
        </w:tc>
      </w:tr>
      <w:tr>
        <w:tc>
          <w:tcPr/>
          <w:p>
            <w:pPr>
              <w:pStyle w:val="Compact"/>
              <w:jc w:val="left"/>
            </w:pPr>
            <w:r>
              <w:t xml:space="preserve">Retrofitting for Energy Efficiency</w:t>
            </w:r>
          </w:p>
        </w:tc>
        <w:tc>
          <w:tcPr/>
          <w:p>
            <w:pPr>
              <w:pStyle w:val="Compact"/>
              <w:jc w:val="left"/>
            </w:pPr>
            <w:r>
              <w:t xml:space="preserve">421,800</w:t>
            </w:r>
          </w:p>
        </w:tc>
        <w:tc>
          <w:tcPr/>
          <w:p>
            <w:pPr>
              <w:pStyle w:val="Compact"/>
              <w:jc w:val="left"/>
            </w:pPr>
            <w:r>
              <w:t xml:space="preserve">14.7%</w:t>
            </w:r>
          </w:p>
        </w:tc>
        <w:tc>
          <w:tcPr/>
          <w:p>
            <w:pPr>
              <w:pStyle w:val="Compact"/>
              <w:jc w:val="left"/>
            </w:pPr>
            <w:r>
              <w:t xml:space="preserve">+38.9%**</w:t>
            </w:r>
          </w:p>
        </w:tc>
      </w:tr>
      <w:tr>
        <w:tc>
          <w:tcPr/>
          <w:p>
            <w:pPr>
              <w:pStyle w:val="Compact"/>
              <w:jc w:val="left"/>
            </w:pPr>
            <w:r>
              <w:t xml:space="preserve">Safety Compliance Inspections</w:t>
            </w:r>
          </w:p>
        </w:tc>
        <w:tc>
          <w:tcPr/>
          <w:p>
            <w:pPr>
              <w:pStyle w:val="Compact"/>
              <w:jc w:val="left"/>
            </w:pPr>
            <w:r>
              <w:t xml:space="preserve">215,700</w:t>
            </w:r>
          </w:p>
        </w:tc>
        <w:tc>
          <w:tcPr/>
          <w:p>
            <w:pPr>
              <w:pStyle w:val="Compact"/>
              <w:jc w:val="left"/>
            </w:pPr>
            <w:r>
              <w:t xml:space="preserve">7.5%</w:t>
            </w:r>
          </w:p>
        </w:tc>
        <w:tc>
          <w:tcPr/>
          <w:p>
            <w:pPr>
              <w:pStyle w:val="Compact"/>
              <w:jc w:val="left"/>
            </w:pPr>
            <w:r>
              <w:t xml:space="preserve">+6.3%</w:t>
            </w:r>
          </w:p>
        </w:tc>
      </w:tr>
    </w:tbl>
    <w:p>
      <w:pPr>
        <w:pStyle w:val="BodyText"/>
      </w:pPr>
      <w:r>
        <w:t xml:space="preserve">*Driven by Berlin's new commercial building energy codes (GEG) effective 2023.</w:t>
      </w:r>
      <w:r>
        <w:br/>
      </w:r>
      <w:r>
        <w:t xml:space="preserve">** Accelerated by federal funding for Berlin's "Energiereform" subsidies.</w:t>
      </w:r>
    </w:p>
    <w:bookmarkEnd w:id="22"/>
    <w:bookmarkStart w:id="23" w:name="key-sales-metrics"/>
    <w:p>
      <w:pPr>
        <w:pStyle w:val="Heading3"/>
      </w:pPr>
      <w:r>
        <w:t xml:space="preserve">Key Sales Metrics</w:t>
      </w:r>
    </w:p>
    <w:p>
      <w:pPr>
        <w:numPr>
          <w:ilvl w:val="0"/>
          <w:numId w:val="1001"/>
        </w:numPr>
        <w:pStyle w:val="Compact"/>
      </w:pPr>
      <w:r>
        <w:rPr>
          <w:bCs/>
          <w:b/>
        </w:rPr>
        <w:t xml:space="preserve">Customer Acquisition Cost (CAC):</w:t>
      </w:r>
      <w:r>
        <w:t xml:space="preserve"> </w:t>
      </w:r>
      <w:r>
        <w:t xml:space="preserve">€487 (down 8.2% YoY due to optimized digital marketing in Berlin)</w:t>
      </w:r>
    </w:p>
    <w:p>
      <w:pPr>
        <w:numPr>
          <w:ilvl w:val="0"/>
          <w:numId w:val="1001"/>
        </w:numPr>
        <w:pStyle w:val="Compact"/>
      </w:pPr>
      <w:r>
        <w:rPr>
          <w:bCs/>
          <w:b/>
        </w:rPr>
        <w:t xml:space="preserve">Commercial Contract Retention Rate:</w:t>
      </w:r>
      <w:r>
        <w:t xml:space="preserve"> </w:t>
      </w:r>
      <w:r>
        <w:t xml:space="preserve">92.3% (vs. industry average of 85%)</w:t>
      </w:r>
    </w:p>
    <w:p>
      <w:pPr>
        <w:numPr>
          <w:ilvl w:val="0"/>
          <w:numId w:val="1001"/>
        </w:numPr>
        <w:pStyle w:val="Compact"/>
      </w:pPr>
      <w:r>
        <w:rPr>
          <w:bCs/>
          <w:b/>
        </w:rPr>
        <w:t xml:space="preserve">Average Deal Size:</w:t>
      </w:r>
      <w:r>
        <w:t xml:space="preserve"> </w:t>
      </w:r>
      <w:r>
        <w:t xml:space="preserve">€4,100 (up 7.4% from Q1 2022)</w:t>
      </w:r>
    </w:p>
    <w:p>
      <w:pPr>
        <w:numPr>
          <w:ilvl w:val="0"/>
          <w:numId w:val="1001"/>
        </w:numPr>
        <w:pStyle w:val="Compact"/>
      </w:pPr>
      <w:r>
        <w:rPr>
          <w:bCs/>
          <w:b/>
        </w:rPr>
        <w:t xml:space="preserve">New Residential Contracts:</w:t>
      </w:r>
      <w:r>
        <w:t xml:space="preserve"> </w:t>
      </w:r>
      <w:r>
        <w:t xml:space="preserve">387 (+19% YoY), concentrated in Kreuzberg, Friedrichshain, and Mitte districts</w:t>
      </w:r>
    </w:p>
    <w:bookmarkEnd w:id="23"/>
    <w:bookmarkEnd w:id="24"/>
    <w:bookmarkStart w:id="28" w:name="berlin-specific-market-insights"/>
    <w:p>
      <w:pPr>
        <w:pStyle w:val="Heading2"/>
      </w:pPr>
      <w:r>
        <w:t xml:space="preserve">Berlin-Specific Market Insights</w:t>
      </w:r>
    </w:p>
    <w:p>
      <w:pPr>
        <w:pStyle w:val="FirstParagraph"/>
      </w:pPr>
      <w:r>
        <w:t xml:space="preserve">Our sales data reveals distinct Berlin patterns requiring tailored electrician strategies:</w:t>
      </w:r>
    </w:p>
    <w:bookmarkStart w:id="25" w:name="historic-building-modernization-demand"/>
    <w:p>
      <w:pPr>
        <w:pStyle w:val="Heading3"/>
      </w:pPr>
      <w:r>
        <w:t xml:space="preserve">1. Historic Building Modernization Demand</w:t>
      </w:r>
    </w:p>
    <w:p>
      <w:pPr>
        <w:pStyle w:val="FirstParagraph"/>
      </w:pPr>
      <w:r>
        <w:t xml:space="preserve">Berlin's 40% of buildings constructed before 1950 necessitate specialized electrical upgrades compliant with heritage protection laws (Denkmalschutz). BESG's "Heritage Electrical Package" generated €672,000 in sales this year – a 53% increase from 2022. Key clients include Berlin's municipal housing authorities (Wohnungsbaugesellschaften) and luxury boutique hotels in Prenzlauer Berg.</w:t>
      </w:r>
    </w:p>
    <w:bookmarkEnd w:id="25"/>
    <w:bookmarkStart w:id="26" w:name="commercial-sector-transformation"/>
    <w:p>
      <w:pPr>
        <w:pStyle w:val="Heading3"/>
      </w:pPr>
      <w:r>
        <w:t xml:space="preserve">2. Commercial Sector Transformation</w:t>
      </w:r>
    </w:p>
    <w:p>
      <w:pPr>
        <w:pStyle w:val="FirstParagraph"/>
      </w:pPr>
      <w:r>
        <w:t xml:space="preserve">Commercial sales grew disproportionately due to Berlin's new Building Energy Act (GEG), mandating all commercial properties over 1,000m² to achieve energy efficiency certifications by 2025. BESG secured contracts with major Berlin entities including:</w:t>
      </w:r>
    </w:p>
    <w:p>
      <w:pPr>
        <w:numPr>
          <w:ilvl w:val="0"/>
          <w:numId w:val="1002"/>
        </w:numPr>
        <w:pStyle w:val="Compact"/>
      </w:pPr>
      <w:r>
        <w:t xml:space="preserve">Leipziger Platz Office Complex (€348,500 retrofit project)</w:t>
      </w:r>
    </w:p>
    <w:p>
      <w:pPr>
        <w:numPr>
          <w:ilvl w:val="0"/>
          <w:numId w:val="1002"/>
        </w:numPr>
        <w:pStyle w:val="Compact"/>
      </w:pPr>
      <w:r>
        <w:t xml:space="preserve">Berlin Brandenburg Airport (BBI) expansion phase</w:t>
      </w:r>
    </w:p>
    <w:p>
      <w:pPr>
        <w:numPr>
          <w:ilvl w:val="0"/>
          <w:numId w:val="1002"/>
        </w:numPr>
        <w:pStyle w:val="Compact"/>
      </w:pPr>
      <w:r>
        <w:t xml:space="preserve">12+ co-working spaces across Tiergarten and Neukölln</w:t>
      </w:r>
    </w:p>
    <w:bookmarkEnd w:id="26"/>
    <w:bookmarkStart w:id="27" w:name="residential-market-dynamics"/>
    <w:p>
      <w:pPr>
        <w:pStyle w:val="Heading3"/>
      </w:pPr>
      <w:r>
        <w:t xml:space="preserve">3. Residential Market Dynamics</w:t>
      </w:r>
    </w:p>
    <w:p>
      <w:pPr>
        <w:pStyle w:val="FirstParagraph"/>
      </w:pPr>
      <w:r>
        <w:t xml:space="preserve">Residential sales surged from two key drivers:</w:t>
      </w:r>
    </w:p>
    <w:p>
      <w:pPr>
        <w:numPr>
          <w:ilvl w:val="0"/>
          <w:numId w:val="1003"/>
        </w:numPr>
        <w:pStyle w:val="Compact"/>
      </w:pPr>
      <w:r>
        <w:rPr>
          <w:iCs/>
          <w:i/>
        </w:rPr>
        <w:t xml:space="preserve">EV Infrastructure Demand:</w:t>
      </w:r>
      <w:r>
        <w:t xml:space="preserve"> </w:t>
      </w:r>
      <w:r>
        <w:t xml:space="preserve">28% of residential installations included home EV charging solutions (up from 14% in 2022), supported by Berlin's €600 per charger subsidy program.</w:t>
      </w:r>
    </w:p>
    <w:p>
      <w:pPr>
        <w:numPr>
          <w:ilvl w:val="0"/>
          <w:numId w:val="1003"/>
        </w:numPr>
        <w:pStyle w:val="Compact"/>
      </w:pPr>
      <w:r>
        <w:rPr>
          <w:iCs/>
          <w:i/>
        </w:rPr>
        <w:t xml:space="preserve">Energy Efficiency Incentives:</w:t>
      </w:r>
      <w:r>
        <w:t xml:space="preserve"> </w:t>
      </w:r>
      <w:r>
        <w:t xml:space="preserve">Federal "Energieeffizienz-Programm" grants covering 35-45% of costs for electrical retrofits drove a 41% YoY increase in customer inquiries.</w:t>
      </w:r>
    </w:p>
    <w:bookmarkEnd w:id="27"/>
    <w:bookmarkEnd w:id="28"/>
    <w:bookmarkStart w:id="32" w:name="Xffd18b9e94cb3ab85839047859517cebe4727b8"/>
    <w:p>
      <w:pPr>
        <w:pStyle w:val="Heading2"/>
      </w:pPr>
      <w:r>
        <w:t xml:space="preserve">Challenges in Germany's Berlin Electrical Market</w:t>
      </w:r>
    </w:p>
    <w:p>
      <w:pPr>
        <w:pStyle w:val="FirstParagraph"/>
      </w:pPr>
      <w:r>
        <w:t xml:space="preserve">BESG encountered three significant challenges requiring strategic adaptation:</w:t>
      </w:r>
    </w:p>
    <w:bookmarkStart w:id="29" w:name="skilled-labor-shortages"/>
    <w:p>
      <w:pPr>
        <w:pStyle w:val="Heading3"/>
      </w:pPr>
      <w:r>
        <w:t xml:space="preserve">1. Skilled Labor Shortages</w:t>
      </w:r>
    </w:p>
    <w:p>
      <w:pPr>
        <w:pStyle w:val="FirstParagraph"/>
      </w:pPr>
      <w:r>
        <w:t xml:space="preserve">Germany faces a critical shortage of certified electricians (ZVEI reports 58,000 vacancies nationwide). Berlin's competition for qualified staff has increased wages by 12.7% YoY. Our solution: Partnering with Berlin Technical University for apprentice programs and investing in AI-assisted scheduling to optimize technician deployment across the city.</w:t>
      </w:r>
    </w:p>
    <w:bookmarkEnd w:id="29"/>
    <w:bookmarkStart w:id="30" w:name="regulatory-complexity"/>
    <w:p>
      <w:pPr>
        <w:pStyle w:val="Heading3"/>
      </w:pPr>
      <w:r>
        <w:t xml:space="preserve">2. Regulatory Complexity</w:t>
      </w:r>
    </w:p>
    <w:p>
      <w:pPr>
        <w:pStyle w:val="FirstParagraph"/>
      </w:pPr>
      <w:r>
        <w:t xml:space="preserve">Berlin's additional requirements beyond federal standards (e.g., specific fire safety protocols in high-density housing) increased project planning time by 18%. We addressed this through a dedicated Berlin compliance team trained on local ordinances and integrated software for real-time regulatory updates.</w:t>
      </w:r>
    </w:p>
    <w:bookmarkEnd w:id="30"/>
    <w:bookmarkStart w:id="31" w:name="competition-from-national-chains"/>
    <w:p>
      <w:pPr>
        <w:pStyle w:val="Heading3"/>
      </w:pPr>
      <w:r>
        <w:t xml:space="preserve">3. Competition from National Chains</w:t>
      </w:r>
    </w:p>
    <w:p>
      <w:pPr>
        <w:pStyle w:val="FirstParagraph"/>
      </w:pPr>
      <w:r>
        <w:t xml:space="preserve">National players (e.g., Electroservice Deutschland) undercut Berlin's small businesses with price competition. Our differentiator: Hyper-localized service – 92% of BESG technicians live within Berlin boroughs, enabling same-day emergency responses and community trust-building.</w:t>
      </w:r>
    </w:p>
    <w:bookmarkEnd w:id="31"/>
    <w:bookmarkEnd w:id="32"/>
    <w:bookmarkStart w:id="33" w:name="X3ca7539486612e839c8e8623b102a76c186c76f"/>
    <w:p>
      <w:pPr>
        <w:pStyle w:val="Heading2"/>
      </w:pPr>
      <w:r>
        <w:t xml:space="preserve">Strategic Recommendations for Growth in Germany Berlin</w:t>
      </w:r>
    </w:p>
    <w:p>
      <w:pPr>
        <w:pStyle w:val="FirstParagraph"/>
      </w:pPr>
      <w:r>
        <w:t xml:space="preserve">To sustain momentum in the Berlin market, we propose:</w:t>
      </w:r>
    </w:p>
    <w:p>
      <w:pPr>
        <w:numPr>
          <w:ilvl w:val="0"/>
          <w:numId w:val="1004"/>
        </w:numPr>
        <w:pStyle w:val="Compact"/>
      </w:pPr>
      <w:r>
        <w:rPr>
          <w:bCs/>
          <w:b/>
        </w:rPr>
        <w:t xml:space="preserve">Expand "Berlin Energy Transition" Package:</w:t>
      </w:r>
      <w:r>
        <w:t xml:space="preserve"> </w:t>
      </w:r>
      <w:r>
        <w:t xml:space="preserve">Bundle solar integration with electrical retrofits to capture 30% of projected €1.2 billion municipal energy upgrade budget (2024-2026).</w:t>
      </w:r>
    </w:p>
    <w:p>
      <w:pPr>
        <w:numPr>
          <w:ilvl w:val="0"/>
          <w:numId w:val="1004"/>
        </w:numPr>
        <w:pStyle w:val="Compact"/>
      </w:pPr>
      <w:r>
        <w:rPr>
          <w:bCs/>
          <w:b/>
        </w:rPr>
        <w:t xml:space="preserve">Develop Digital Platform:</w:t>
      </w:r>
      <w:r>
        <w:t xml:space="preserve"> </w:t>
      </w:r>
      <w:r>
        <w:t xml:space="preserve">Launch a Berlin-specific app for real-time technician tracking and energy consumption analytics, addressing the 68% of residential customers seeking digital service transparency.</w:t>
      </w:r>
    </w:p>
    <w:p>
      <w:pPr>
        <w:numPr>
          <w:ilvl w:val="0"/>
          <w:numId w:val="1004"/>
        </w:numPr>
        <w:pStyle w:val="Compact"/>
      </w:pPr>
      <w:r>
        <w:rPr>
          <w:bCs/>
          <w:b/>
        </w:rPr>
        <w:t xml:space="preserve">Target Municipal Contracts:</w:t>
      </w:r>
      <w:r>
        <w:t xml:space="preserve"> </w:t>
      </w:r>
      <w:r>
        <w:t xml:space="preserve">Pursue Berlin's "Green City" initiative for public housing retrofits – estimated €450 million market opportunity over 5 years.</w:t>
      </w:r>
    </w:p>
    <w:bookmarkEnd w:id="33"/>
    <w:bookmarkStart w:id="34" w:name="Xac3baa3f3ad8665912e62a89ef8a2c19b3240f6"/>
    <w:p>
      <w:pPr>
        <w:pStyle w:val="Heading2"/>
      </w:pPr>
      <w:r>
        <w:t xml:space="preserve">Conclusion: The Future of Electrical Services in Germany Berlin</w:t>
      </w:r>
    </w:p>
    <w:p>
      <w:pPr>
        <w:pStyle w:val="FirstParagraph"/>
      </w:pPr>
      <w:r>
        <w:t xml:space="preserve">BESG's Q1-Q3 2023 results demonstrate strong market leadership in Germany Berlin's electrical services sector, driven by our specialization in the city's regulatory environment and infrastructure challenges. The 15.7% revenue growth outperforms industry averages by more than double, confirming our strategic focus on Berlin-specific opportunities. As Germany accelerates its energy transition under national climate goals, Berlin will remain the epicenter of electrical service innovation – demanding electrician businesses that understand local nuances over generic national approaches.</w:t>
      </w:r>
    </w:p>
    <w:p>
      <w:pPr>
        <w:pStyle w:val="BodyText"/>
      </w:pPr>
      <w:r>
        <w:t xml:space="preserve">Looking ahead to Q4 2023, we project €1.1 million in sales through increased commercial contracts and expanded residential EV infrastructure services. Our commitment to Berlin's unique market demands positions BESG as the electrical service partner of choice for Germany's capital city, ensuring both sustainable growth and meaningful contribution to Berlin's energy future.</w:t>
      </w:r>
    </w:p>
    <w:p>
      <w:pPr>
        <w:pStyle w:val="BodyText"/>
      </w:pPr>
      <w:r>
        <w:rPr>
          <w:iCs/>
          <w:i/>
        </w:rPr>
        <w:t xml:space="preserve">Berlin Electrical Solutions GmbH – Powering Progress, Professionally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Berlin Market Analysis</dc:title>
  <dc:creator/>
  <dc:language>en</dc:language>
  <cp:keywords/>
  <dcterms:created xsi:type="dcterms:W3CDTF">2026-07-23T04:01:07Z</dcterms:created>
  <dcterms:modified xsi:type="dcterms:W3CDTF">2026-07-23T04:01:07Z</dcterms:modified>
</cp:coreProperties>
</file>

<file path=docProps/custom.xml><?xml version="1.0" encoding="utf-8"?>
<Properties xmlns="http://schemas.openxmlformats.org/officeDocument/2006/custom-properties" xmlns:vt="http://schemas.openxmlformats.org/officeDocument/2006/docPropsVTypes"/>
</file>