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8" w:name="Xc3154dd53ee3e11079613d8ba2b6e5537c57124"/>
    <w:p>
      <w:pPr>
        <w:pStyle w:val="Heading1"/>
      </w:pPr>
      <w:r>
        <w:t xml:space="preserve">Comprehensive Sales Report: Electrical Services Performance in Ivory Coast Abidjan</w:t>
      </w:r>
    </w:p>
    <w:bookmarkStart w:id="20" w:name="Xb6ab2d051eb2131f5a691ea8b699bc0b722a31f"/>
    <w:p>
      <w:pPr>
        <w:pStyle w:val="Heading2"/>
      </w:pPr>
      <w:r>
        <w:t xml:space="preserve">Introduction to the Electrician Market in Abidjan, Ivory Coast</w:t>
      </w:r>
    </w:p>
    <w:p>
      <w:pPr>
        <w:pStyle w:val="FirstParagraph"/>
      </w:pPr>
      <w:r>
        <w:t xml:space="preserve">This Sales Report presents a detailed analysis of electrical service performance across Abidjan, the economic capital of Ivory Coast. As one of West Africa's fastest-growing urban centers, Abidjan faces escalating demand for professional electrician services driven by rapid infrastructure development, residential expansion, and industrial modernization. The Ivory Coast government's "Emerging Côte d'Ivoire 2020" initiative has accelerated construction projects across Abidjan, creating unprecedented opportunities for certified electrician businesses. This report evaluates our company's sales performance from Q1 2023 to Q3 2024, highlighting market dynamics specific to the Abidjan electrical services sector.</w:t>
      </w:r>
    </w:p>
    <w:bookmarkEnd w:id="20"/>
    <w:bookmarkStart w:id="21" w:name="X3ae7a25ecf47eeda4f7f45b5b5158abc4504ef7"/>
    <w:p>
      <w:pPr>
        <w:pStyle w:val="Heading2"/>
      </w:pPr>
      <w:r>
        <w:t xml:space="preserve">Market Analysis: Electrician Demand in Ivory Coast Abidjan</w:t>
      </w:r>
    </w:p>
    <w:p>
      <w:pPr>
        <w:pStyle w:val="FirstParagraph"/>
      </w:pPr>
      <w:r>
        <w:t xml:space="preserve">Abidjan's electricity consumption has grown by 15.7% annually over the past five years, according to the Ivorian Energy Ministry. This growth stems from three critical factors: (1) New residential complexes like La Lagune and Treichville development projects requiring full electrical installations, (2) Manufacturing hubs in Abidjan's industrial zones demanding reliable power systems, and (3) Government initiatives such as the "Abidjan Electrification Plan" targeting 95% urban household connectivity by 2025. Our Sales Report confirms that commercial electrician services now account for 68% of total electrical sales in Abidjan – a 27-point increase since 2021. This trend underscores the city's transformation from basic residential wiring to sophisticated electrical infrastructure management.</w:t>
      </w:r>
    </w:p>
    <w:bookmarkEnd w:id="21"/>
    <w:bookmarkStart w:id="22" w:name="X530ece5be189477dff625e71defa594f8555f51"/>
    <w:p>
      <w:pPr>
        <w:pStyle w:val="Heading2"/>
      </w:pPr>
      <w:r>
        <w:t xml:space="preserve">Sales Performance: Key Metrics (January 2023 - September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(XOF)</w:t>
            </w:r>
          </w:p>
        </w:tc>
        <w:tc>
          <w:tcPr/>
          <w:p>
            <w:pPr>
              <w:pStyle w:val="Compact"/>
              <w:jc w:val="left"/>
            </w:pPr>
            <w:r>
              <w:t xml:space="preserve">YoY Growth</w:t>
            </w:r>
          </w:p>
        </w:tc>
        <w:tc>
          <w:tcPr/>
          <w:p>
            <w:pPr>
              <w:pStyle w:val="Compact"/>
              <w:jc w:val="left"/>
            </w:pPr>
            <w:r>
              <w:t xml:space="preserve">Service Type Breakdown</w:t>
            </w:r>
          </w:p>
        </w:tc>
      </w:tr>
      <w:tr>
        <w:tc>
          <w:tcPr/>
          <w:p>
            <w:pPr>
              <w:pStyle w:val="Compact"/>
              <w:jc w:val="left"/>
            </w:pPr>
            <w:r>
              <w:t xml:space="preserve">H1 2023</w:t>
            </w:r>
          </w:p>
        </w:tc>
        <w:tc>
          <w:tcPr/>
          <w:p>
            <w:pPr>
              <w:pStyle w:val="Compact"/>
              <w:jc w:val="left"/>
            </w:pPr>
            <w:r>
              <w:t xml:space="preserve">48,500,000</w:t>
            </w:r>
          </w:p>
        </w:tc>
        <w:tc>
          <w:tcPr/>
          <w:p>
            <w:pPr>
              <w:pStyle w:val="Compact"/>
              <w:jc w:val="left"/>
            </w:pPr>
            <w:r>
              <w:t xml:space="preserve">-</w:t>
            </w:r>
          </w:p>
        </w:tc>
        <w:tc>
          <w:tcPr/>
          <w:p>
            <w:pPr>
              <w:pStyle w:val="Compact"/>
              <w:jc w:val="left"/>
            </w:pPr>
            <w:r>
              <w:t xml:space="preserve">Residential 62%, Commercial 38%</w:t>
            </w:r>
          </w:p>
        </w:tc>
      </w:tr>
      <w:tr>
        <w:tc>
          <w:tcPr/>
          <w:p>
            <w:pPr>
              <w:pStyle w:val="Compact"/>
              <w:jc w:val="left"/>
            </w:pPr>
            <w:r>
              <w:t xml:space="preserve">H2 2023</w:t>
            </w:r>
          </w:p>
        </w:tc>
        <w:tc>
          <w:tcPr/>
          <w:p>
            <w:pPr>
              <w:pStyle w:val="Compact"/>
              <w:jc w:val="left"/>
            </w:pPr>
            <w:r>
              <w:t xml:space="preserve">57,241,800</w:t>
            </w:r>
          </w:p>
        </w:tc>
        <w:tc>
          <w:tcPr/>
          <w:p>
            <w:pPr>
              <w:pStyle w:val="Compact"/>
              <w:jc w:val="left"/>
            </w:pPr>
            <w:r>
              <w:t xml:space="preserve">+18.0%</w:t>
            </w:r>
          </w:p>
        </w:tc>
        <w:tc>
          <w:tcPr/>
          <w:p>
            <w:pPr>
              <w:pStyle w:val="Compact"/>
              <w:jc w:val="left"/>
            </w:pPr>
            <w:r>
              <w:t xml:space="preserve">Residential 55%, Commercial 45%</w:t>
            </w:r>
          </w:p>
        </w:tc>
      </w:tr>
      <w:tr>
        <w:tc>
          <w:tcPr/>
          <w:p>
            <w:pPr>
              <w:pStyle w:val="Compact"/>
              <w:jc w:val="left"/>
            </w:pPr>
            <w:r>
              <w:t xml:space="preserve">H1 2024</w:t>
            </w:r>
          </w:p>
        </w:tc>
        <w:tc>
          <w:tcPr/>
          <w:p>
            <w:pPr>
              <w:pStyle w:val="Compact"/>
              <w:jc w:val="left"/>
            </w:pPr>
            <w:r>
              <w:t xml:space="preserve">63,875,400</w:t>
            </w:r>
          </w:p>
        </w:tc>
        <w:tc>
          <w:tcPr/>
          <w:p>
            <w:pPr>
              <w:pStyle w:val="Compact"/>
              <w:jc w:val="left"/>
            </w:pPr>
            <w:r>
              <w:t xml:space="preserve">+11.6%</w:t>
            </w:r>
          </w:p>
        </w:tc>
        <w:tc>
          <w:tcPr/>
          <w:p>
            <w:pPr>
              <w:pStyle w:val="Compact"/>
              <w:jc w:val="left"/>
            </w:pPr>
            <w:r>
              <w:t xml:space="preserve">Residential 52%, Commercial 48%</w:t>
            </w:r>
          </w:p>
        </w:tc>
      </w:tr>
      <w:tr>
        <w:tc>
          <w:tcPr/>
          <w:p>
            <w:pPr>
              <w:pStyle w:val="Compact"/>
              <w:jc w:val="left"/>
            </w:pPr>
            <w:r>
              <w:t xml:space="preserve">H2 2024 (Projected)</w:t>
            </w:r>
          </w:p>
        </w:tc>
        <w:tc>
          <w:tcPr/>
          <w:p>
            <w:pPr>
              <w:pStyle w:val="Compact"/>
              <w:jc w:val="left"/>
            </w:pPr>
            <w:r>
              <w:t xml:space="preserve">74,310,950</w:t>
            </w:r>
          </w:p>
        </w:tc>
        <w:tc>
          <w:tcPr/>
          <w:p>
            <w:pPr>
              <w:pStyle w:val="Compact"/>
              <w:jc w:val="left"/>
            </w:pPr>
            <w:r>
              <w:t xml:space="preserve">+16.3%</w:t>
            </w:r>
          </w:p>
        </w:tc>
        <w:tc>
          <w:tcPr/>
          <w:p>
            <w:pPr>
              <w:pStyle w:val="Compact"/>
              <w:jc w:val="left"/>
            </w:pPr>
            <w:r>
              <w:t xml:space="preserve">Residential 50%, Commercial 50%</w:t>
            </w:r>
          </w:p>
        </w:tc>
      </w:tr>
    </w:tbl>
    <w:p>
      <w:pPr>
        <w:pStyle w:val="BodyText"/>
      </w:pPr>
      <w:r>
        <w:t xml:space="preserve">The data reveals a significant shift toward commercial electrician services in Abidjan. Our Q3 2024 sales show a breakthrough with major contracts from the new Abidjan International Airport expansion and the Cocody Business District's high-rise developments – representing 37% of total quarterly revenue. This aligns with Ivory Coast's strategic focus on transforming Abidjan into a regional business hub, directly impacting electrician service demand patterns.</w:t>
      </w:r>
    </w:p>
    <w:bookmarkEnd w:id="22"/>
    <w:bookmarkStart w:id="23" w:name="key-achievements-driving-sales-growth"/>
    <w:p>
      <w:pPr>
        <w:pStyle w:val="Heading2"/>
      </w:pPr>
      <w:r>
        <w:t xml:space="preserve">Key Achievements Driving Sales Growth</w:t>
      </w:r>
    </w:p>
    <w:p>
      <w:pPr>
        <w:pStyle w:val="FirstParagraph"/>
      </w:pPr>
      <w:r>
        <w:t xml:space="preserve">Three strategic initiatives have been pivotal in our sales success in Ivory Coast Abidjan:</w:t>
      </w:r>
    </w:p>
    <w:p>
      <w:pPr>
        <w:numPr>
          <w:ilvl w:val="0"/>
          <w:numId w:val="1001"/>
        </w:numPr>
        <w:pStyle w:val="Compact"/>
      </w:pPr>
      <w:r>
        <w:rPr>
          <w:bCs/>
          <w:b/>
        </w:rPr>
        <w:t xml:space="preserve">National Certification Partnerships</w:t>
      </w:r>
      <w:r>
        <w:t xml:space="preserve">: Collaboration with the Ivorian Electrician Professional Association (AIEI) to train 147 local technicians, ensuring all our electrician teams meet national safety standards. This certification directly boosted client trust in Abidjan's competitive market.</w:t>
      </w:r>
    </w:p>
    <w:p>
      <w:pPr>
        <w:numPr>
          <w:ilvl w:val="0"/>
          <w:numId w:val="1001"/>
        </w:numPr>
        <w:pStyle w:val="Compact"/>
      </w:pPr>
      <w:r>
        <w:rPr>
          <w:bCs/>
          <w:b/>
        </w:rPr>
        <w:t xml:space="preserve">Smart Grid Integration Services</w:t>
      </w:r>
      <w:r>
        <w:t xml:space="preserve">: Developing specialized solutions for Abidjan's new smart metering infrastructure, capturing 28% of total sales in Q3 2024. Our team now handles both installation and maintenance for the national utility company (SONABEL).</w:t>
      </w:r>
    </w:p>
    <w:p>
      <w:pPr>
        <w:numPr>
          <w:ilvl w:val="0"/>
          <w:numId w:val="1001"/>
        </w:numPr>
        <w:pStyle w:val="Compact"/>
      </w:pPr>
      <w:r>
        <w:rPr>
          <w:bCs/>
          <w:b/>
        </w:rPr>
        <w:t xml:space="preserve">Community Safety Programs</w:t>
      </w:r>
      <w:r>
        <w:t xml:space="preserve">: Free electrical safety audits for Abidjan neighborhood associations, generating 157 qualified leads in Q2 2024 – a 300% increase from previous initiatives.</w:t>
      </w:r>
    </w:p>
    <w:bookmarkEnd w:id="23"/>
    <w:bookmarkStart w:id="24" w:name="challenges-and-strategic-adaptations"/>
    <w:p>
      <w:pPr>
        <w:pStyle w:val="Heading2"/>
      </w:pPr>
      <w:r>
        <w:t xml:space="preserve">Challenges and Strategic Adaptations</w:t>
      </w:r>
    </w:p>
    <w:p>
      <w:pPr>
        <w:pStyle w:val="FirstParagraph"/>
      </w:pPr>
      <w:r>
        <w:t xml:space="preserve">Despite robust growth, our Sales Report identifies critical challenges unique to the Abidjan market:</w:t>
      </w:r>
    </w:p>
    <w:p>
      <w:pPr>
        <w:numPr>
          <w:ilvl w:val="0"/>
          <w:numId w:val="1002"/>
        </w:numPr>
        <w:pStyle w:val="Compact"/>
      </w:pPr>
      <w:r>
        <w:rPr>
          <w:iCs/>
          <w:i/>
        </w:rPr>
        <w:t xml:space="preserve">Component Supply Chain Disruptions</w:t>
      </w:r>
      <w:r>
        <w:t xml:space="preserve">: 43% of commercial electrician projects faced delays due to import restrictions on electrical components. Our solution was establishing a local warehouse in Plateau, Abidjan, reducing lead times by 58%.</w:t>
      </w:r>
    </w:p>
    <w:p>
      <w:pPr>
        <w:numPr>
          <w:ilvl w:val="0"/>
          <w:numId w:val="1002"/>
        </w:numPr>
        <w:pStyle w:val="Compact"/>
      </w:pPr>
      <w:r>
        <w:rPr>
          <w:iCs/>
          <w:i/>
        </w:rPr>
        <w:t xml:space="preserve">Competitive Pricing Pressure</w:t>
      </w:r>
      <w:r>
        <w:t xml:space="preserve">: Unregulated small-scale electrician operations offering substandard services undercutting our rates. We countered by implementing transparent pricing tiers with value-added safety guarantees – increasing client retention by 22%.</w:t>
      </w:r>
    </w:p>
    <w:p>
      <w:pPr>
        <w:numPr>
          <w:ilvl w:val="0"/>
          <w:numId w:val="1002"/>
        </w:numPr>
        <w:pStyle w:val="Compact"/>
      </w:pPr>
      <w:r>
        <w:rPr>
          <w:iCs/>
          <w:i/>
        </w:rPr>
        <w:t xml:space="preserve">Cultural Nuances in Client Relations</w:t>
      </w:r>
      <w:r>
        <w:t xml:space="preserve">: Traditional business practices requiring face-to-face engagement initially slowed sales cycles. Our adaptation involved hiring Abidjan-based local account managers who understand cultural protocols, improving conversion rates by 35%.</w:t>
      </w:r>
    </w:p>
    <w:bookmarkEnd w:id="24"/>
    <w:bookmarkStart w:id="25" w:name="X0ef5fbae6144463669abb3883d6b9661df75314"/>
    <w:p>
      <w:pPr>
        <w:pStyle w:val="Heading2"/>
      </w:pPr>
      <w:r>
        <w:t xml:space="preserve">Customer Feedback Highlights: Electrician Service Excellence in Abidjan</w:t>
      </w:r>
    </w:p>
    <w:p>
      <w:pPr>
        <w:pStyle w:val="FirstParagraph"/>
      </w:pPr>
      <w:r>
        <w:t xml:space="preserve">Client testimonials from our Ivory Coast Abidjan operations consistently emphasize three strengths:</w:t>
      </w:r>
    </w:p>
    <w:p>
      <w:pPr>
        <w:pStyle w:val="BlockText"/>
      </w:pPr>
      <w:r>
        <w:t xml:space="preserve">"The electrician team completed our Cocody office renovation 17 days ahead of schedule during the rainy season, adhering strictly to Ivorian safety codes. This level of professionalism is rare in Abidjan's electrical services market." –</w:t>
      </w:r>
      <w:r>
        <w:t xml:space="preserve"> </w:t>
      </w:r>
      <w:r>
        <w:rPr>
          <w:iCs/>
          <w:i/>
        </w:rPr>
        <w:t xml:space="preserve">Regional Manager, Swiss Bank Africa (Abidjan)</w:t>
      </w:r>
    </w:p>
    <w:p>
      <w:pPr>
        <w:pStyle w:val="BlockText"/>
      </w:pPr>
      <w:r>
        <w:t xml:space="preserve">"After our hotel's power outage during peak season, their 24-hour response from an AIEI-certified electrician restored operations within 8 hours. The transparency in pricing eliminated hidden costs we'd experienced with other providers." –</w:t>
      </w:r>
      <w:r>
        <w:t xml:space="preserve"> </w:t>
      </w:r>
      <w:r>
        <w:rPr>
          <w:iCs/>
          <w:i/>
        </w:rPr>
        <w:t xml:space="preserve">Operations Director, Hôtel Ivoire</w:t>
      </w:r>
    </w:p>
    <w:bookmarkEnd w:id="25"/>
    <w:bookmarkStart w:id="26" w:name="X799966dca0f652cf15acba8cd7d03c6706b7645"/>
    <w:p>
      <w:pPr>
        <w:pStyle w:val="Heading2"/>
      </w:pPr>
      <w:r>
        <w:t xml:space="preserve">Future Sales Strategy for Abidjan, Ivory Coast</w:t>
      </w:r>
    </w:p>
    <w:p>
      <w:pPr>
        <w:pStyle w:val="FirstParagraph"/>
      </w:pPr>
      <w:r>
        <w:t xml:space="preserve">This Sales Report concludes with a forward-looking strategy tailored to Abidjan's evolving electrical market:</w:t>
      </w:r>
    </w:p>
    <w:p>
      <w:pPr>
        <w:numPr>
          <w:ilvl w:val="0"/>
          <w:numId w:val="1003"/>
        </w:numPr>
        <w:pStyle w:val="Compact"/>
      </w:pPr>
      <w:r>
        <w:rPr>
          <w:bCs/>
          <w:b/>
        </w:rPr>
        <w:t xml:space="preserve">Expand Solar Integration Services</w:t>
      </w:r>
      <w:r>
        <w:t xml:space="preserve">: Partnering with Ivory Coast's solar initiative to offer photovoltaic system installations – projected to capture 18% of Abidjan's commercial electrician market by 2026.</w:t>
      </w:r>
    </w:p>
    <w:p>
      <w:pPr>
        <w:numPr>
          <w:ilvl w:val="0"/>
          <w:numId w:val="1003"/>
        </w:numPr>
        <w:pStyle w:val="Compact"/>
      </w:pPr>
      <w:r>
        <w:rPr>
          <w:bCs/>
          <w:b/>
        </w:rPr>
        <w:t xml:space="preserve">Develop Digital Service Platform</w:t>
      </w:r>
      <w:r>
        <w:t xml:space="preserve">: Launching a mobile app for real-time quoting, service tracking, and safety compliance reporting tailored for Abidjan's urban infrastructure needs.</w:t>
      </w:r>
    </w:p>
    <w:p>
      <w:pPr>
        <w:numPr>
          <w:ilvl w:val="0"/>
          <w:numId w:val="1003"/>
        </w:numPr>
        <w:pStyle w:val="Compact"/>
      </w:pPr>
      <w:r>
        <w:rPr>
          <w:bCs/>
          <w:b/>
        </w:rPr>
        <w:t xml:space="preserve">Strengthen Local Workforce Pipeline</w:t>
      </w:r>
      <w:r>
        <w:t xml:space="preserve">: Collaborating with Abidjan Technical University to create an electrician apprenticeship program focused on modern wiring standards and renewable energy systems.</w:t>
      </w:r>
    </w:p>
    <w:bookmarkEnd w:id="26"/>
    <w:bookmarkStart w:id="27" w:name="Xdcc42d571223ad400a3ad3d3ad4540826ed372d"/>
    <w:p>
      <w:pPr>
        <w:pStyle w:val="Heading2"/>
      </w:pPr>
      <w:r>
        <w:t xml:space="preserve">Conclusion: Positioning for Sustainable Growth in Ivory Coast Abidjan</w:t>
      </w:r>
    </w:p>
    <w:p>
      <w:pPr>
        <w:pStyle w:val="FirstParagraph"/>
      </w:pPr>
      <w:r>
        <w:t xml:space="preserve">The sales trajectory of our electrical services business in Abidjan, Ivory Coast demonstrates exceptional market penetration driven by cultural intelligence, technical excellence, and strategic adaptation. This Sales Report confirms that professional electrician services are no longer a luxury but a necessity for Abidjan's development trajectory. As the city continues its transformation under the "Abidjan 2030" vision, our focus on safety-certified electrician solutions positions us to capture significant market share in both residential and commercial sectors. With projected revenue growth of 21% for 2025 and expanding partnerships with key Ivorian infrastructure entities, we are confident that this strategic approach will cement our leadership in the electrical services industry across Ivory Coast Abidjan.</w:t>
      </w:r>
    </w:p>
    <w:p>
      <w:pPr>
        <w:pStyle w:val="BodyText"/>
      </w:pPr>
      <w:r>
        <w:rPr>
          <w:iCs/>
          <w:i/>
        </w:rPr>
        <w:t xml:space="preserve">Prepared by: International Electrical Solutions (IES) - Ivory Coast Division</w:t>
      </w:r>
      <w:r>
        <w:br/>
      </w:r>
      <w:r>
        <w:rPr>
          <w:iCs/>
          <w:i/>
        </w:rPr>
        <w:t xml:space="preserve">Date: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Ivory Coast Abidjan Market Analysis</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