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Electrical</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28" w:name="X6bc5129d2575ac40ae43b6a4d9755b403ac7193"/>
    <w:p>
      <w:pPr>
        <w:pStyle w:val="Heading1"/>
      </w:pPr>
      <w:r>
        <w:t xml:space="preserve">Quarterly Sales Report: Electrical Services Performance Analysis for Netherlands Amsterdam (Q2 2024)</w:t>
      </w:r>
    </w:p>
    <w:p>
      <w:pPr>
        <w:pStyle w:val="FirstParagraph"/>
      </w:pPr>
      <w:r>
        <w:rPr>
          <w:bCs/>
          <w:b/>
        </w:rPr>
        <w:t xml:space="preserve">Prepared For:</w:t>
      </w:r>
      <w:r>
        <w:t xml:space="preserve"> </w:t>
      </w:r>
      <w:r>
        <w:t xml:space="preserve">Management Team, Amsterdam Electrician Solutions</w:t>
      </w:r>
      <w:r>
        <w:br/>
      </w:r>
      <w:r>
        <w:rPr>
          <w:bCs/>
          <w:b/>
        </w:rPr>
        <w:t xml:space="preserve">Date:</w:t>
      </w:r>
      <w:r>
        <w:t xml:space="preserve"> </w:t>
      </w:r>
      <w:r>
        <w:t xml:space="preserve">July 15, 2024</w:t>
      </w:r>
      <w:r>
        <w:br/>
      </w:r>
      <w:r>
        <w:rPr>
          <w:bCs/>
          <w:b/>
        </w:rPr>
        <w:t xml:space="preserve">Report Period:</w:t>
      </w:r>
      <w:r>
        <w:t xml:space="preserve"> </w:t>
      </w:r>
      <w:r>
        <w:t xml:space="preserve">April 1 - June 30, 2024</w:t>
      </w:r>
    </w:p>
    <w:bookmarkStart w:id="20" w:name="i.-executive-summary"/>
    <w:p>
      <w:pPr>
        <w:pStyle w:val="Heading2"/>
      </w:pPr>
      <w:r>
        <w:t xml:space="preserve">I. Executive Summary</w:t>
      </w:r>
    </w:p>
    <w:p>
      <w:pPr>
        <w:pStyle w:val="FirstParagraph"/>
      </w:pPr>
      <w:r>
        <w:t xml:space="preserve">This comprehensive Sales Report details the operational performance of our electrical services division across the Netherlands Amsterdam market during Q2 2024. The report underscores significant growth driven by Amsterdam's evolving infrastructure needs, stringent safety regulations, and rising demand for sustainable energy solutions. As a premier</w:t>
      </w:r>
      <w:r>
        <w:t xml:space="preserve"> </w:t>
      </w:r>
      <w:r>
        <w:rPr>
          <w:iCs/>
          <w:i/>
        </w:rPr>
        <w:t xml:space="preserve">Electrician</w:t>
      </w:r>
      <w:r>
        <w:t xml:space="preserve"> </w:t>
      </w:r>
      <w:r>
        <w:t xml:space="preserve">service provider in the</w:t>
      </w:r>
      <w:r>
        <w:t xml:space="preserve"> </w:t>
      </w:r>
      <w:r>
        <w:rPr>
          <w:bCs/>
          <w:b/>
        </w:rPr>
        <w:t xml:space="preserve">Netherlands Amsterdam</w:t>
      </w:r>
      <w:r>
        <w:t xml:space="preserve"> </w:t>
      </w:r>
      <w:r>
        <w:t xml:space="preserve">region, we achieved a 17% YoY revenue increase, with commercial projects accounting for 62% of total sales. This Sales Report confirms our strategic positioning as the go-to partner for all electrical requirements in one of Europe's most dynamic urban centers.</w:t>
      </w:r>
    </w:p>
    <w:bookmarkEnd w:id="20"/>
    <w:bookmarkStart w:id="21" w:name="Xad1f761f859491c2c8395a61a84abe349858208"/>
    <w:p>
      <w:pPr>
        <w:pStyle w:val="Heading2"/>
      </w:pPr>
      <w:r>
        <w:t xml:space="preserve">II. Market Context: Netherlands Amsterdam Electrical Demand</w:t>
      </w:r>
    </w:p>
    <w:p>
      <w:pPr>
        <w:pStyle w:val="FirstParagraph"/>
      </w:pPr>
      <w:r>
        <w:t xml:space="preserve">Amsterdam's unique urban landscape presents both challenges and opportunities for electrical service providers. The city's 17th-century canal ring requires specialized</w:t>
      </w:r>
      <w:r>
        <w:t xml:space="preserve"> </w:t>
      </w:r>
      <w:r>
        <w:rPr>
          <w:iCs/>
          <w:i/>
        </w:rPr>
        <w:t xml:space="preserve">Electrician</w:t>
      </w:r>
      <w:r>
        <w:t xml:space="preserve"> </w:t>
      </w:r>
      <w:r>
        <w:t xml:space="preserve">expertise for heritage building compliance, while its ambition to become a carbon-neutral city by 2050 has spurred unprecedented demand for EV charging infrastructure (over 1,200 new installations in Q2 alone). The Netherlands' strict</w:t>
      </w:r>
      <w:r>
        <w:t xml:space="preserve"> </w:t>
      </w:r>
      <w:r>
        <w:rPr>
          <w:iCs/>
          <w:i/>
        </w:rPr>
        <w:t xml:space="preserve">Energiewet</w:t>
      </w:r>
      <w:r>
        <w:t xml:space="preserve"> </w:t>
      </w:r>
      <w:r>
        <w:t xml:space="preserve">regulations mandate regular electrical safety inspections, creating consistent service cycles. Our Sales Report identifies Amsterdam South (Zuidas) as the fastest-growing sector, with commercial real estate developers actively seeking certified electricians for smart building integrations.</w:t>
      </w:r>
    </w:p>
    <w:bookmarkEnd w:id="21"/>
    <w:bookmarkStart w:id="22" w:name="iii.-sales-performance-highlights"/>
    <w:p>
      <w:pPr>
        <w:pStyle w:val="Heading2"/>
      </w:pPr>
      <w:r>
        <w:t xml:space="preserve">III. Sales Performance Highlights</w:t>
      </w:r>
    </w:p>
    <w:p>
      <w:pPr>
        <w:pStyle w:val="FirstParagraph"/>
      </w:pPr>
      <w:r>
        <w:rPr>
          <w:bCs/>
          <w:b/>
        </w:rPr>
        <w:t xml:space="preserve">Revenue Breakdown:</w:t>
      </w:r>
    </w:p>
    <w:p>
      <w:pPr>
        <w:numPr>
          <w:ilvl w:val="0"/>
          <w:numId w:val="1001"/>
        </w:numPr>
        <w:pStyle w:val="Compact"/>
      </w:pPr>
      <w:r>
        <w:rPr>
          <w:bCs/>
          <w:b/>
        </w:rPr>
        <w:t xml:space="preserve">Residential Services:</w:t>
      </w:r>
      <w:r>
        <w:t xml:space="preserve"> </w:t>
      </w:r>
      <w:r>
        <w:t xml:space="preserve">€418,500 (38% of total) - 12% YoY growth driven by smart home retrofits in historic neighborhoods like De Pijp</w:t>
      </w:r>
    </w:p>
    <w:p>
      <w:pPr>
        <w:numPr>
          <w:ilvl w:val="0"/>
          <w:numId w:val="1001"/>
        </w:numPr>
        <w:pStyle w:val="Compact"/>
      </w:pPr>
      <w:r>
        <w:rPr>
          <w:bCs/>
          <w:b/>
        </w:rPr>
        <w:t xml:space="preserve">Commercial Projects:</w:t>
      </w:r>
      <w:r>
        <w:t xml:space="preserve"> </w:t>
      </w:r>
      <w:r>
        <w:t xml:space="preserve">€673,200 (62%) - 24% YoY growth; major contracts with Amsterdam Airport Schiphol and Zuidas office towers</w:t>
      </w:r>
    </w:p>
    <w:p>
      <w:pPr>
        <w:pStyle w:val="FirstParagraph"/>
      </w:pPr>
      <w:r>
        <w:rPr>
          <w:bCs/>
          <w:b/>
        </w:rPr>
        <w:t xml:space="preserve">Key Growth Drivers:</w:t>
      </w:r>
    </w:p>
    <w:p>
      <w:pPr>
        <w:numPr>
          <w:ilvl w:val="0"/>
          <w:numId w:val="1002"/>
        </w:numPr>
        <w:pStyle w:val="Compact"/>
      </w:pPr>
      <w:r>
        <w:rPr>
          <w:iCs/>
          <w:i/>
        </w:rPr>
        <w:t xml:space="preserve">Sustainable Energy Contracts:</w:t>
      </w:r>
      <w:r>
        <w:t xml:space="preserve"> </w:t>
      </w:r>
      <w:r>
        <w:t xml:space="preserve">47% of new commercial clients requested solar integration or EV charging networks - a 200% increase from Q2 2023</w:t>
      </w:r>
    </w:p>
    <w:p>
      <w:pPr>
        <w:numPr>
          <w:ilvl w:val="0"/>
          <w:numId w:val="1002"/>
        </w:numPr>
        <w:pStyle w:val="Compact"/>
      </w:pPr>
      <w:r>
        <w:rPr>
          <w:iCs/>
          <w:i/>
        </w:rPr>
        <w:t xml:space="preserve">Building Code Compliance:</w:t>
      </w:r>
      <w:r>
        <w:t xml:space="preserve"> </w:t>
      </w:r>
      <w:r>
        <w:t xml:space="preserve">Mandatory electrical safety updates under Dutch law created consistent maintenance contracts (35 new agreements)</w:t>
      </w:r>
    </w:p>
    <w:p>
      <w:pPr>
        <w:numPr>
          <w:ilvl w:val="0"/>
          <w:numId w:val="1002"/>
        </w:numPr>
        <w:pStyle w:val="Compact"/>
      </w:pPr>
      <w:r>
        <w:rPr>
          <w:iCs/>
          <w:i/>
        </w:rPr>
        <w:t xml:space="preserve">Demand for Certified Electricians:</w:t>
      </w:r>
      <w:r>
        <w:t xml:space="preserve"> </w:t>
      </w:r>
      <w:r>
        <w:t xml:space="preserve">89% of commercial clients specified "Netherlands-licensed electrician" in RFPs, directly increasing our win rate by 27%</w:t>
      </w:r>
    </w:p>
    <w:bookmarkEnd w:id="22"/>
    <w:bookmarkStart w:id="23" w:name="iv.-competitive-positioning-in-amsterdam"/>
    <w:p>
      <w:pPr>
        <w:pStyle w:val="Heading2"/>
      </w:pPr>
      <w:r>
        <w:t xml:space="preserve">IV. Competitive Positioning in Amsterdam</w:t>
      </w:r>
    </w:p>
    <w:p>
      <w:pPr>
        <w:pStyle w:val="FirstParagraph"/>
      </w:pPr>
      <w:r>
        <w:t xml:space="preserve">This Sales Report demonstrates how our strategic focus on Netherlands-specific compliance has outperformed competitors. While local providers often lack full certification for heritage buildings, we maintain all required permits under the Dutch</w:t>
      </w:r>
      <w:r>
        <w:t xml:space="preserve"> </w:t>
      </w:r>
      <w:r>
        <w:rPr>
          <w:iCs/>
          <w:i/>
        </w:rPr>
        <w:t xml:space="preserve">Elektrotechnische Voorschriften</w:t>
      </w:r>
      <w:r>
        <w:t xml:space="preserve">. Our investment in Amsterdam-based training programs (including canal-side safety protocols) has reduced response times by 32% during peak winter months. Key differentiators include:</w:t>
      </w:r>
    </w:p>
    <w:p>
      <w:pPr>
        <w:numPr>
          <w:ilvl w:val="0"/>
          <w:numId w:val="1003"/>
        </w:numPr>
        <w:pStyle w:val="Compact"/>
      </w:pPr>
      <w:r>
        <w:t xml:space="preserve">Real-time digital work orders accessible via Dutch mobile platforms (94% client satisfaction)</w:t>
      </w:r>
    </w:p>
    <w:p>
      <w:pPr>
        <w:numPr>
          <w:ilvl w:val="0"/>
          <w:numId w:val="1003"/>
        </w:numPr>
        <w:pStyle w:val="Compact"/>
      </w:pPr>
      <w:r>
        <w:t xml:space="preserve">Partnerships with Amsterdam Municipality-approved energy auditors</w:t>
      </w:r>
    </w:p>
    <w:p>
      <w:pPr>
        <w:numPr>
          <w:ilvl w:val="0"/>
          <w:numId w:val="1003"/>
        </w:numPr>
        <w:pStyle w:val="Compact"/>
      </w:pPr>
      <w:r>
        <w:t xml:space="preserve">Specialized teams for historic district electrical upgrades (15+ certified electricians trained in 2024)</w:t>
      </w:r>
    </w:p>
    <w:bookmarkEnd w:id="23"/>
    <w:bookmarkStart w:id="24" w:name="v.-challenges-strategic-response"/>
    <w:p>
      <w:pPr>
        <w:pStyle w:val="Heading2"/>
      </w:pPr>
      <w:r>
        <w:t xml:space="preserve">V. Challenges &amp; Strategic Response</w:t>
      </w:r>
    </w:p>
    <w:p>
      <w:pPr>
        <w:pStyle w:val="FirstParagraph"/>
      </w:pPr>
      <w:r>
        <w:t xml:space="preserve">Our Sales Report identifies two critical challenges faced by electricians in Amsterdam:</w:t>
      </w:r>
    </w:p>
    <w:p>
      <w:pPr>
        <w:pStyle w:val="BodyText"/>
      </w:pPr>
      <w:r>
        <w:rPr>
          <w:bCs/>
          <w:b/>
        </w:rPr>
        <w:t xml:space="preserve">Challenge 1: Seasonal Demand Spikes</w:t>
      </w:r>
      <w:r>
        <w:br/>
      </w:r>
      <w:r>
        <w:t xml:space="preserve">Winter months (November-February) see 40% higher emergency call volume due to heating system failures. We implemented a predictive staffing model using historical Amsterdam weather data, reducing average wait times from 36 hours to 18 hours during peak seasons.</w:t>
      </w:r>
    </w:p>
    <w:p>
      <w:pPr>
        <w:pStyle w:val="BodyText"/>
      </w:pPr>
      <w:r>
        <w:rPr>
          <w:bCs/>
          <w:b/>
        </w:rPr>
        <w:t xml:space="preserve">Challenge 2: Supply Chain Delays for EU-Compliant Parts</w:t>
      </w:r>
      <w:r>
        <w:br/>
      </w:r>
      <w:r>
        <w:t xml:space="preserve">Shortages of certified electrical components impacted project timelines. Our solution: Establishing a local warehouse in Amsterdam's industrial zone (Zeeburg), cutting part delivery times from 7 days to under 48 hours and securing priority access to Dutch-manufactured components.</w:t>
      </w:r>
    </w:p>
    <w:bookmarkEnd w:id="24"/>
    <w:bookmarkStart w:id="25" w:name="Xf488e85a95a8a520ab4559bdb930c23478fafe5"/>
    <w:p>
      <w:pPr>
        <w:pStyle w:val="Heading2"/>
      </w:pPr>
      <w:r>
        <w:t xml:space="preserve">VI. Future Strategy: Aligning with Netherlands Amsterdam’s Vision</w:t>
      </w:r>
    </w:p>
    <w:p>
      <w:pPr>
        <w:pStyle w:val="FirstParagraph"/>
      </w:pPr>
      <w:r>
        <w:t xml:space="preserve">Based on this Sales Report, we're doubling down on three initiatives directly supporting Amsterdam's sustainability goals:</w:t>
      </w:r>
    </w:p>
    <w:p>
      <w:pPr>
        <w:numPr>
          <w:ilvl w:val="0"/>
          <w:numId w:val="1004"/>
        </w:numPr>
        <w:pStyle w:val="Compact"/>
      </w:pPr>
      <w:r>
        <w:rPr>
          <w:iCs/>
          <w:i/>
        </w:rPr>
        <w:t xml:space="preserve">EV Infrastructure Expansion:</w:t>
      </w:r>
      <w:r>
        <w:t xml:space="preserve"> </w:t>
      </w:r>
      <w:r>
        <w:t xml:space="preserve">Partnering with City of Amsterdam to deploy 50 new public charging points by Q4 2024, targeting underserved areas like Ouderkerk aan de Amstel</w:t>
      </w:r>
    </w:p>
    <w:p>
      <w:pPr>
        <w:numPr>
          <w:ilvl w:val="0"/>
          <w:numId w:val="1004"/>
        </w:numPr>
        <w:pStyle w:val="Compact"/>
      </w:pPr>
      <w:r>
        <w:rPr>
          <w:iCs/>
          <w:i/>
        </w:rPr>
        <w:t xml:space="preserve">Heritage Building Electrification:</w:t>
      </w:r>
      <w:r>
        <w:t xml:space="preserve"> </w:t>
      </w:r>
      <w:r>
        <w:t xml:space="preserve">Launching a specialized service package for canal house retrofits, certified under the Dutch</w:t>
      </w:r>
      <w:r>
        <w:t xml:space="preserve"> </w:t>
      </w:r>
      <w:r>
        <w:rPr>
          <w:iCs/>
          <w:i/>
        </w:rPr>
        <w:t xml:space="preserve">Bouwbesluit</w:t>
      </w:r>
    </w:p>
    <w:p>
      <w:pPr>
        <w:numPr>
          <w:ilvl w:val="0"/>
          <w:numId w:val="1004"/>
        </w:numPr>
        <w:pStyle w:val="Compact"/>
      </w:pPr>
      <w:r>
        <w:rPr>
          <w:iCs/>
          <w:i/>
        </w:rPr>
        <w:t xml:space="preserve">Skill Development:</w:t>
      </w:r>
      <w:r>
        <w:t xml:space="preserve"> </w:t>
      </w:r>
      <w:r>
        <w:t xml:space="preserve">Collaborating with Amsterdam University of Applied Sciences to create the city's first accredited electrician program focused on sustainable urban infrastructure</w:t>
      </w:r>
    </w:p>
    <w:bookmarkEnd w:id="25"/>
    <w:bookmarkStart w:id="27" w:name="Xa1f7f20735bb16da0c6e83fdaa678c1d5017600"/>
    <w:p>
      <w:pPr>
        <w:pStyle w:val="Heading2"/>
      </w:pPr>
      <w:r>
        <w:t xml:space="preserve">VII. Conclusion: The Netherlands Amsterdam Electrical Market Outlook</w:t>
      </w:r>
    </w:p>
    <w:p>
      <w:pPr>
        <w:pStyle w:val="FirstParagraph"/>
      </w:pPr>
      <w:r>
        <w:t xml:space="preserve">This Sales Report confirms that Amsterdam remains a high-growth market for certified electrical services, with the Netherlands government prioritizing energy transition initiatives that directly benefit qualified electricians. Our 17% revenue growth in Q2 demonstrates how aligning technical expertise with local regulatory frameworks creates sustainable competitive advantage. As the largest city in the Netherlands, Amsterdam's demand for skilled</w:t>
      </w:r>
      <w:r>
        <w:t xml:space="preserve"> </w:t>
      </w:r>
      <w:r>
        <w:rPr>
          <w:iCs/>
          <w:i/>
        </w:rPr>
        <w:t xml:space="preserve">Electrician</w:t>
      </w:r>
      <w:r>
        <w:t xml:space="preserve"> </w:t>
      </w:r>
      <w:r>
        <w:t xml:space="preserve">services will continue to outpace national averages due to its unique architectural challenges and aggressive climate targets.</w:t>
      </w:r>
    </w:p>
    <w:p>
      <w:pPr>
        <w:pStyle w:val="BodyText"/>
      </w:pPr>
      <w:r>
        <w:t xml:space="preserve">Recommendation: Allocate 25% of 2024 R&amp;D budget to developing AI-driven predictive maintenance tools tailored for Amsterdam's building stock. This position will solidify our status as the premier Electrical Services partner for all business needs across the Netherlands Amsterdam region.</w:t>
      </w:r>
    </w:p>
    <w:bookmarkStart w:id="26" w:name="Xac7df513153df8eae9565257eb5e62f1a2e6b5d"/>
    <w:p>
      <w:pPr>
        <w:pStyle w:val="Heading3"/>
      </w:pPr>
      <w:r>
        <w:t xml:space="preserve">Appendix: Key Performance Metrics (Netherlands Amsterdam)</w:t>
      </w:r>
    </w:p>
    <w:p>
      <w:pPr>
        <w:pStyle w:val="FirstParagraph"/>
      </w:pPr>
      <w:r>
        <w:t xml:space="preserve">Indicator</w:t>
      </w:r>
    </w:p>
    <w:p>
      <w:pPr>
        <w:pStyle w:val="BodyText"/>
      </w:pPr>
      <w:r>
        <w:t xml:space="preserve">Q2 2024</w:t>
      </w:r>
    </w:p>
    <w:p>
      <w:pPr>
        <w:pStyle w:val="BodyText"/>
      </w:pPr>
      <w:r>
        <w:t xml:space="preserve">Q2 2023</w:t>
      </w:r>
    </w:p>
    <w:p>
      <w:pPr>
        <w:pStyle w:val="BodyText"/>
      </w:pPr>
      <w:r>
        <w:t xml:space="preserve">YoY Change</w:t>
      </w:r>
    </w:p>
    <w:p>
      <w:pPr>
        <w:pStyle w:val="BodyText"/>
      </w:pPr>
      <w:r>
        <w:t xml:space="preserve">Total Revenue (€)</w:t>
      </w:r>
    </w:p>
    <w:p>
      <w:pPr>
        <w:pStyle w:val="BodyText"/>
      </w:pPr>
      <w:r>
        <w:t xml:space="preserve">1,091,700</w:t>
      </w:r>
    </w:p>
    <w:p>
      <w:pPr>
        <w:pStyle w:val="BodyText"/>
      </w:pPr>
      <w:r>
        <w:t xml:space="preserve">933,455</w:t>
      </w:r>
    </w:p>
    <w:p>
      <w:pPr>
        <w:pStyle w:val="BodyText"/>
      </w:pPr>
      <w:r>
        <w:t xml:space="preserve">+17.0%</w:t>
      </w:r>
    </w:p>
    <w:p>
      <w:pPr>
        <w:pStyle w:val="BodyText"/>
      </w:pPr>
      <w:r>
        <w:t xml:space="preserve">New Commercial Contracts</w:t>
      </w:r>
    </w:p>
    <w:p>
      <w:pPr>
        <w:pStyle w:val="BodyText"/>
      </w:pPr>
      <w:r>
        <w:t xml:space="preserve">28</w:t>
      </w:r>
    </w:p>
    <w:p>
      <w:pPr>
        <w:pStyle w:val="BodyText"/>
      </w:pPr>
      <w:r>
        <w:t xml:space="preserve">21</w:t>
      </w:r>
    </w:p>
    <w:p>
      <w:pPr>
        <w:pStyle w:val="BodyText"/>
      </w:pPr>
      <w:r>
        <w:t xml:space="preserve">+33.3%</w:t>
      </w:r>
    </w:p>
    <w:p>
      <w:pPr>
        <w:pStyle w:val="BodyText"/>
      </w:pPr>
      <w:r>
        <w:t xml:space="preserve">Average Response Time (hours)</w:t>
      </w:r>
    </w:p>
    <w:p>
      <w:pPr>
        <w:pStyle w:val="BodyText"/>
      </w:pPr>
      <w:r>
        <w:t xml:space="preserve">18.2</w:t>
      </w:r>
    </w:p>
    <w:p>
      <w:pPr>
        <w:pStyle w:val="BodyText"/>
      </w:pPr>
      <w:r>
        <w:t xml:space="preserve">26.5</w:t>
      </w:r>
    </w:p>
    <w:p>
      <w:pPr>
        <w:pStyle w:val="BodyText"/>
      </w:pPr>
      <w:r>
        <w:t xml:space="preserve">-31.3%</w:t>
      </w:r>
    </w:p>
    <w:p>
      <w:pPr>
        <w:pStyle w:val="BodyText"/>
      </w:pPr>
      <w:r>
        <w:t xml:space="preserve">Sustainable Project Revenue Share</w:t>
      </w:r>
    </w:p>
    <w:p>
      <w:pPr>
        <w:pStyle w:val="BodyText"/>
      </w:pPr>
      <w:r>
        <w:t xml:space="preserve">47%</w:t>
      </w:r>
    </w:p>
    <w:p>
      <w:pPr>
        <w:pStyle w:val="BodyText"/>
      </w:pPr>
      <w:r>
        <w:t xml:space="preserve">31% (Q2 2023)</w:t>
      </w:r>
    </w:p>
    <w:p>
      <w:pPr>
        <w:pStyle w:val="BodyText"/>
      </w:pPr>
      <w:r>
        <w:br/>
      </w:r>
    </w:p>
    <w:p>
      <w:pPr>
        <w:pStyle w:val="BodyText"/>
      </w:pPr>
      <w:r>
        <w:rPr>
          <w:bCs/>
          <w:b/>
        </w:rPr>
        <w:t xml:space="preserve">Prepared by:</w:t>
      </w:r>
      <w:r>
        <w:t xml:space="preserve"> </w:t>
      </w:r>
      <w:r>
        <w:t xml:space="preserve">Amsterdam Electrical Services Analytics Team</w:t>
      </w:r>
      <w:r>
        <w:br/>
      </w:r>
      <w:r>
        <w:rPr>
          <w:iCs/>
          <w:i/>
        </w:rPr>
        <w:t xml:space="preserve">This Sales Report reflects data from all Netherlands Amsterdam operations and complies with Dutch business transparency standards.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Electrical Services in Netherlands Amsterdam</dc:title>
  <dc:creator/>
  <dc:language>en</dc:language>
  <cp:keywords/>
  <dcterms:created xsi:type="dcterms:W3CDTF">2026-07-23T08:32:56Z</dcterms:created>
  <dcterms:modified xsi:type="dcterms:W3CDTF">2026-07-23T08:32:56Z</dcterms:modified>
</cp:coreProperties>
</file>

<file path=docProps/custom.xml><?xml version="1.0" encoding="utf-8"?>
<Properties xmlns="http://schemas.openxmlformats.org/officeDocument/2006/custom-properties" xmlns:vt="http://schemas.openxmlformats.org/officeDocument/2006/docPropsVTypes"/>
</file>