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28" w:name="Xecf8c2e7b58a0157ebda49a49cfdf4513773646"/>
    <w:p>
      <w:pPr>
        <w:pStyle w:val="Heading1"/>
      </w:pPr>
      <w:r>
        <w:t xml:space="preserve">Quarterly Sales Report: Birmingham Electrician Services - United Kingdom Market Performance</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Birmingham, United Kingdom, during the third quarter of 2023. As a leading electrical contracting firm serving residential and commercial clients throughout Birmingham, we've observed significant growth in service demand driven by infrastructure renewal initiatives and heightened safety compliance standards. Our strategic focus on delivering premium electrician solutions in this dynamic market has resulted in a 18% year-on-year sales increase, totaling £427,500 for Q3. This report examines key performance indicators, geographic trends, customer insights, and actionable strategies for sustaining growth within the competitive United Kingdom Birmingham electrical services sector.</w:t>
      </w:r>
    </w:p>
    <w:bookmarkEnd w:id="20"/>
    <w:bookmarkStart w:id="21" w:name="X7df2be26aba58421b0be5103189be6cabd18acd"/>
    <w:p>
      <w:pPr>
        <w:pStyle w:val="Heading2"/>
      </w:pPr>
      <w:r>
        <w:t xml:space="preserve">Market Context: Birmingham's Electrical Service Landscape</w:t>
      </w:r>
    </w:p>
    <w:p>
      <w:pPr>
        <w:pStyle w:val="FirstParagraph"/>
      </w:pPr>
      <w:r>
        <w:t xml:space="preserve">Birmingham represents a critical market within the United Kingdom's electrical contracting industry. As England's second-largest city with over 1.1 million residents, it faces unique challenges including aging Victorian housing stock, modern commercial developments in the Eastside and City Centre districts, and stringent compliance requirements under Part P of the Building Regulations. The UK government's recent "Green Homes Grant" scheme and Birmingham City Council's infrastructure upgrade programs have created unprecedented demand for certified electrician services across all boroughs – from Erdington to Sparkbrook. Our analysis confirms that 67% of new electrical installations in Birmingham now require compliance with the latest safety standards, directly impacting our service portfolio.</w:t>
      </w:r>
    </w:p>
    <w:bookmarkEnd w:id="21"/>
    <w:bookmarkStart w:id="22" w:name="q3-sales-performance-key-metrics"/>
    <w:p>
      <w:pPr>
        <w:pStyle w:val="Heading2"/>
      </w:pPr>
      <w:r>
        <w:t xml:space="preserve">Q3 Sales Performance: Key Metrics</w:t>
      </w:r>
    </w:p>
    <w:p>
      <w:pPr>
        <w:pStyle w:val="FirstParagraph"/>
      </w:pPr>
      <w:r>
        <w:t xml:space="preserve">Service Category</w:t>
      </w:r>
    </w:p>
    <w:p>
      <w:pPr>
        <w:pStyle w:val="BodyText"/>
      </w:pPr>
      <w:r>
        <w:t xml:space="preserve">Q3 Revenue (£)</w:t>
      </w:r>
    </w:p>
    <w:p>
      <w:pPr>
        <w:pStyle w:val="BodyText"/>
      </w:pPr>
      <w:r>
        <w:t xml:space="preserve">% of Total Sales</w:t>
      </w:r>
    </w:p>
    <w:p>
      <w:pPr>
        <w:pStyle w:val="BodyText"/>
      </w:pPr>
      <w:r>
        <w:t xml:space="preserve">YoY Change</w:t>
      </w:r>
    </w:p>
    <w:p>
      <w:pPr>
        <w:pStyle w:val="BodyText"/>
      </w:pPr>
      <w:r>
        <w:t xml:space="preserve">New Installations (Residential)</w:t>
      </w:r>
    </w:p>
    <w:p>
      <w:pPr>
        <w:pStyle w:val="BodyText"/>
      </w:pPr>
      <w:r>
        <w:t xml:space="preserve">152,800</w:t>
      </w:r>
    </w:p>
    <w:p>
      <w:pPr>
        <w:pStyle w:val="BodyText"/>
      </w:pPr>
      <w:r>
        <w:t xml:space="preserve">35.7%</w:t>
      </w:r>
    </w:p>
    <w:p>
      <w:pPr>
        <w:pStyle w:val="BodyText"/>
      </w:pPr>
      <w:r>
        <w:t xml:space="preserve">+24%</w:t>
      </w:r>
    </w:p>
    <w:p>
      <w:pPr>
        <w:pStyle w:val="BodyText"/>
      </w:pPr>
      <w:r>
        <w:t xml:space="preserve">Commercial Electrical Services</w:t>
      </w:r>
    </w:p>
    <w:p>
      <w:pPr>
        <w:pStyle w:val="BodyText"/>
      </w:pPr>
      <w:r>
        <w:t xml:space="preserve">128,400</w:t>
      </w:r>
    </w:p>
    <w:p>
      <w:pPr>
        <w:pStyle w:val="BodyText"/>
      </w:pPr>
      <w:r>
        <w:t xml:space="preserve">30.1%</w:t>
      </w:r>
    </w:p>
    <w:p>
      <w:pPr>
        <w:pStyle w:val="BodyText"/>
      </w:pPr>
      <w:r>
        <w:t xml:space="preserve">+19%</w:t>
      </w:r>
    </w:p>
    <w:p>
      <w:pPr>
        <w:pStyle w:val="BodyText"/>
      </w:pPr>
      <w:r>
        <w:t xml:space="preserve">Maintenance &amp; Emergency Repairs</w:t>
      </w:r>
    </w:p>
    <w:p>
      <w:pPr>
        <w:pStyle w:val="BodyText"/>
      </w:pPr>
      <w:r>
        <w:t xml:space="preserve">96,500</w:t>
      </w:r>
    </w:p>
    <w:p>
      <w:pPr>
        <w:pStyle w:val="BodyText"/>
      </w:pPr>
      <w:r>
        <w:t xml:space="preserve">22.6%</w:t>
      </w:r>
    </w:p>
    <w:p>
      <w:pPr>
        <w:pStyle w:val="BodyText"/>
      </w:pPr>
      <w:r>
        <w:t xml:space="preserve">+15%</w:t>
      </w:r>
    </w:p>
    <w:p>
      <w:pPr>
        <w:pStyle w:val="BodyText"/>
      </w:pPr>
      <w:r>
        <w:t xml:space="preserve">Safety Compliance Certifications</w:t>
      </w:r>
    </w:p>
    <w:p>
      <w:pPr>
        <w:pStyle w:val="BodyText"/>
      </w:pPr>
      <w:r>
        <w:t xml:space="preserve">49,800</w:t>
      </w:r>
    </w:p>
    <w:p>
      <w:pPr>
        <w:pStyle w:val="BodyText"/>
      </w:pPr>
      <w:r>
        <w:t xml:space="preserve">11.6%</w:t>
      </w:r>
    </w:p>
    <w:p>
      <w:pPr>
        <w:pStyle w:val="BodyText"/>
      </w:pPr>
      <w:r>
        <w:t xml:space="preserve">+38%</w:t>
      </w:r>
    </w:p>
    <w:p>
      <w:pPr>
        <w:pStyle w:val="BodyText"/>
      </w:pPr>
      <w:r>
        <w:rPr>
          <w:bCs/>
          <w:b/>
        </w:rPr>
        <w:t xml:space="preserve">Total Q3 Revenue: £427,500</w:t>
      </w:r>
    </w:p>
    <w:bookmarkEnd w:id="22"/>
    <w:bookmarkStart w:id="23" w:name="X5c491fa6b81a7a7aa832bfa798baeae0fa8336b"/>
    <w:p>
      <w:pPr>
        <w:pStyle w:val="Heading2"/>
      </w:pPr>
      <w:r>
        <w:t xml:space="preserve">Geographic Sales Distribution in Birmingham</w:t>
      </w:r>
    </w:p>
    <w:p>
      <w:pPr>
        <w:pStyle w:val="FirstParagraph"/>
      </w:pPr>
      <w:r>
        <w:t xml:space="preserve">Our sales data reveals distinct regional patterns across the United Kingdom Birmingham market:</w:t>
      </w:r>
    </w:p>
    <w:p>
      <w:pPr>
        <w:numPr>
          <w:ilvl w:val="0"/>
          <w:numId w:val="1001"/>
        </w:numPr>
        <w:pStyle w:val="Compact"/>
      </w:pPr>
      <w:r>
        <w:rPr>
          <w:bCs/>
          <w:b/>
        </w:rPr>
        <w:t xml:space="preserve">City Centre &amp; Eastside</w:t>
      </w:r>
      <w:r>
        <w:t xml:space="preserve">: 32% of total revenue (Commercial projects: retail spaces, office refurbishments)</w:t>
      </w:r>
    </w:p>
    <w:p>
      <w:pPr>
        <w:numPr>
          <w:ilvl w:val="0"/>
          <w:numId w:val="1001"/>
        </w:numPr>
        <w:pStyle w:val="Compact"/>
      </w:pPr>
      <w:r>
        <w:rPr>
          <w:bCs/>
          <w:b/>
        </w:rPr>
        <w:t xml:space="preserve">South Birmingham (Balsall Heath, Small Heath)</w:t>
      </w:r>
      <w:r>
        <w:t xml:space="preserve">: 28% (Residential new builds and safety upgrades)</w:t>
      </w:r>
    </w:p>
    <w:p>
      <w:pPr>
        <w:numPr>
          <w:ilvl w:val="0"/>
          <w:numId w:val="1001"/>
        </w:numPr>
        <w:pStyle w:val="Compact"/>
      </w:pPr>
      <w:r>
        <w:rPr>
          <w:bCs/>
          <w:b/>
        </w:rPr>
        <w:t xml:space="preserve">North &amp; West Birmingham</w:t>
      </w:r>
      <w:r>
        <w:t xml:space="preserve">: 24% (Legacy housing stock repairs - 58% of service calls involve properties built pre-1970)</w:t>
      </w:r>
    </w:p>
    <w:p>
      <w:pPr>
        <w:numPr>
          <w:ilvl w:val="0"/>
          <w:numId w:val="1001"/>
        </w:numPr>
        <w:pStyle w:val="Compact"/>
      </w:pPr>
      <w:r>
        <w:rPr>
          <w:bCs/>
          <w:b/>
        </w:rPr>
        <w:t xml:space="preserve">Suburban Zones (Edgbaston, Moseley)</w:t>
      </w:r>
      <w:r>
        <w:t xml:space="preserve">: 16% (Premium residential installations and smart home integration services)</w:t>
      </w:r>
    </w:p>
    <w:p>
      <w:pPr>
        <w:pStyle w:val="FirstParagraph"/>
      </w:pPr>
      <w:r>
        <w:t xml:space="preserve">Notably, areas with high density of older housing stock (e.g., Sparkbrook, Washwood Heath) demonstrated 41% year-on-year growth in mandatory Part P compliance work following Birmingham City Council's intensified enforcement campaign. Our electrician teams deployed targeted outreach programs in these zones, resulting in a 33% increase in service retention rates.</w:t>
      </w:r>
    </w:p>
    <w:bookmarkEnd w:id="23"/>
    <w:bookmarkStart w:id="24" w:name="customer-insights-service-feedback"/>
    <w:p>
      <w:pPr>
        <w:pStyle w:val="Heading2"/>
      </w:pPr>
      <w:r>
        <w:t xml:space="preserve">Customer Insights &amp; Service Feedback</w:t>
      </w:r>
    </w:p>
    <w:p>
      <w:pPr>
        <w:pStyle w:val="FirstParagraph"/>
      </w:pPr>
      <w:r>
        <w:t xml:space="preserve">Analysis of 1,247 customer surveys conducted during Q3 reveals critical trends:</w:t>
      </w:r>
    </w:p>
    <w:p>
      <w:pPr>
        <w:numPr>
          <w:ilvl w:val="0"/>
          <w:numId w:val="1002"/>
        </w:numPr>
        <w:pStyle w:val="Compact"/>
      </w:pPr>
      <w:r>
        <w:t xml:space="preserve">89% of clients prioritize "fully certified electrician" as the top selection criterion (up from 76% in Q1 2023)</w:t>
      </w:r>
    </w:p>
    <w:p>
      <w:pPr>
        <w:numPr>
          <w:ilvl w:val="0"/>
          <w:numId w:val="1002"/>
        </w:numPr>
        <w:pStyle w:val="Compact"/>
      </w:pPr>
      <w:r>
        <w:t xml:space="preserve">Residential customers cite "emergency response time" as most valued metric (average completion within 48 hours for urgent requests)</w:t>
      </w:r>
    </w:p>
    <w:p>
      <w:pPr>
        <w:numPr>
          <w:ilvl w:val="0"/>
          <w:numId w:val="1002"/>
        </w:numPr>
        <w:pStyle w:val="Compact"/>
      </w:pPr>
      <w:r>
        <w:t xml:space="preserve">Commercial clients emphasize "compliance documentation accuracy" as decisive factor in service selection</w:t>
      </w:r>
    </w:p>
    <w:p>
      <w:pPr>
        <w:numPr>
          <w:ilvl w:val="0"/>
          <w:numId w:val="1002"/>
        </w:numPr>
        <w:pStyle w:val="Compact"/>
      </w:pPr>
      <w:r>
        <w:t xml:space="preserve">57% of repeat customers specifically mentioned our Birmingham-based office's local market knowledge as key differentiator</w:t>
      </w:r>
    </w:p>
    <w:p>
      <w:pPr>
        <w:pStyle w:val="FirstParagraph"/>
      </w:pPr>
      <w:r>
        <w:t xml:space="preserve">A significant insight emerged from customer feedback: 73% of residential clients expressed increased concern about electrical safety following the UK's recent fire statistics. This directly correlates with our 38% YoY growth in Part P certification services – a clear market response to heightened public awareness.</w:t>
      </w:r>
    </w:p>
    <w:bookmarkEnd w:id="24"/>
    <w:bookmarkStart w:id="25" w:name="X473d7154c25a2f43736b1dd4dc6e08ebea879b3"/>
    <w:p>
      <w:pPr>
        <w:pStyle w:val="Heading2"/>
      </w:pPr>
      <w:r>
        <w:t xml:space="preserve">Challenges in United Kingdom Birmingham Electrician Market</w:t>
      </w:r>
    </w:p>
    <w:p>
      <w:pPr>
        <w:pStyle w:val="FirstParagraph"/>
      </w:pPr>
      <w:r>
        <w:t xml:space="preserve">Despite positive performance, we identified critical challenges requiring strategic intervention:</w:t>
      </w:r>
    </w:p>
    <w:p>
      <w:pPr>
        <w:numPr>
          <w:ilvl w:val="0"/>
          <w:numId w:val="1003"/>
        </w:numPr>
        <w:pStyle w:val="Compact"/>
      </w:pPr>
      <w:r>
        <w:rPr>
          <w:bCs/>
          <w:b/>
        </w:rPr>
        <w:t xml:space="preserve">Skills Shortage</w:t>
      </w:r>
      <w:r>
        <w:t xml:space="preserve">: Birmingham faces a 17% deficit in certified electricians compared to national average (Source: EETD 2023), causing scheduling delays for 22% of non-emergency jobs</w:t>
      </w:r>
    </w:p>
    <w:p>
      <w:pPr>
        <w:numPr>
          <w:ilvl w:val="0"/>
          <w:numId w:val="1003"/>
        </w:numPr>
        <w:pStyle w:val="Compact"/>
      </w:pPr>
      <w:r>
        <w:rPr>
          <w:bCs/>
          <w:b/>
        </w:rPr>
        <w:t xml:space="preserve">Regulatory Complexity</w:t>
      </w:r>
      <w:r>
        <w:t xml:space="preserve">: Evolving Part P requirements create client confusion, leading to abandoned projects in 14% of residential consultations</w:t>
      </w:r>
    </w:p>
    <w:p>
      <w:pPr>
        <w:numPr>
          <w:ilvl w:val="0"/>
          <w:numId w:val="1003"/>
        </w:numPr>
        <w:pStyle w:val="Compact"/>
      </w:pPr>
      <w:r>
        <w:rPr>
          <w:bCs/>
          <w:b/>
        </w:rPr>
        <w:t xml:space="preserve">Competition Pressure</w:t>
      </w:r>
      <w:r>
        <w:t xml:space="preserve">: Unlicensed operators undercutting prices by 25-30% in lower-income Birmingham neighborhoods (e.g., Erdington, Aston)</w:t>
      </w:r>
    </w:p>
    <w:p>
      <w:pPr>
        <w:numPr>
          <w:ilvl w:val="0"/>
          <w:numId w:val="1003"/>
        </w:numPr>
        <w:pStyle w:val="Compact"/>
      </w:pPr>
      <w:r>
        <w:rPr>
          <w:bCs/>
          <w:b/>
        </w:rPr>
        <w:t xml:space="preserve">Supply Chain Costs</w:t>
      </w:r>
      <w:r>
        <w:t xml:space="preserve">: Material expenses increased 18% YoY due to post-pandemic supply chain disruptions affecting electrical components</w:t>
      </w:r>
    </w:p>
    <w:bookmarkEnd w:id="25"/>
    <w:bookmarkStart w:id="26" w:name="X9ee590e8c34b5b26014d237a4d3a7699308df80"/>
    <w:p>
      <w:pPr>
        <w:pStyle w:val="Heading2"/>
      </w:pPr>
      <w:r>
        <w:t xml:space="preserve">Strategic Recommendations for Growth in Birmingham Market</w:t>
      </w:r>
    </w:p>
    <w:p>
      <w:pPr>
        <w:pStyle w:val="FirstParagraph"/>
      </w:pPr>
      <w:r>
        <w:t xml:space="preserve">To capitalize on market opportunities while addressing challenges, we propose the following targeted actions:</w:t>
      </w:r>
    </w:p>
    <w:p>
      <w:pPr>
        <w:numPr>
          <w:ilvl w:val="0"/>
          <w:numId w:val="1004"/>
        </w:numPr>
        <w:pStyle w:val="Compact"/>
      </w:pPr>
      <w:r>
        <w:rPr>
          <w:bCs/>
          <w:b/>
        </w:rPr>
        <w:t xml:space="preserve">Local Apprenticeship Program Expansion</w:t>
      </w:r>
      <w:r>
        <w:t xml:space="preserve">: Partner with City of Birmingham College to establish a dedicated electrician training pathway, addressing local skills shortage while enhancing community standing.</w:t>
      </w:r>
    </w:p>
    <w:p>
      <w:pPr>
        <w:numPr>
          <w:ilvl w:val="0"/>
          <w:numId w:val="1004"/>
        </w:numPr>
        <w:pStyle w:val="Compact"/>
      </w:pPr>
      <w:r>
        <w:rPr>
          <w:bCs/>
          <w:b/>
        </w:rPr>
        <w:t xml:space="preserve">Compliance Advisory Service</w:t>
      </w:r>
      <w:r>
        <w:t xml:space="preserve">: Launch "Birmingham Safety Guarantee" – free initial compliance assessment for residential clients, converting 65% of leads into sales (pilot results show 28% higher conversion rates).</w:t>
      </w:r>
    </w:p>
    <w:p>
      <w:pPr>
        <w:numPr>
          <w:ilvl w:val="0"/>
          <w:numId w:val="1004"/>
        </w:numPr>
        <w:pStyle w:val="Compact"/>
      </w:pPr>
      <w:r>
        <w:rPr>
          <w:bCs/>
          <w:b/>
        </w:rPr>
        <w:t xml:space="preserve">Geographic Expansion Strategy</w:t>
      </w:r>
      <w:r>
        <w:t xml:space="preserve">: Target high-growth areas: Allocate 30% of new technician resources to South Birmingham commercial zones where development permits increased by 41% YoY.</w:t>
      </w:r>
    </w:p>
    <w:p>
      <w:pPr>
        <w:numPr>
          <w:ilvl w:val="0"/>
          <w:numId w:val="1004"/>
        </w:numPr>
        <w:pStyle w:val="Compact"/>
      </w:pPr>
      <w:r>
        <w:rPr>
          <w:bCs/>
          <w:b/>
        </w:rPr>
        <w:t xml:space="preserve">Digital Client Portal</w:t>
      </w:r>
      <w:r>
        <w:t xml:space="preserve">: Implement real-time job tracking system with Birmingham-specific regulatory updates, reducing scheduling delays by projected 25%.</w:t>
      </w:r>
    </w:p>
    <w:bookmarkEnd w:id="26"/>
    <w:bookmarkStart w:id="27" w:name="Xd79151936cd314d570c96ebff86d4ec4d0f588f"/>
    <w:p>
      <w:pPr>
        <w:pStyle w:val="Heading2"/>
      </w:pPr>
      <w:r>
        <w:t xml:space="preserve">Conclusion: Future Outlook for Electrician Services in Birmingham</w:t>
      </w:r>
    </w:p>
    <w:p>
      <w:pPr>
        <w:pStyle w:val="FirstParagraph"/>
      </w:pPr>
      <w:r>
        <w:t xml:space="preserve">The United Kingdom Birmingham electrician market presents substantial growth potential driven by regulatory changes, infrastructure investment, and heightened safety awareness. Our Q3 performance demonstrates strong market positioning, but sustained success requires continuous adaptation to the city's unique electrical service ecosystem. We project a 25% revenue increase for full-year 2023 through implementation of these strategic initiatives.</w:t>
      </w:r>
    </w:p>
    <w:p>
      <w:pPr>
        <w:pStyle w:val="BodyText"/>
      </w:pPr>
      <w:r>
        <w:t xml:space="preserve">As Birmingham continues its transformation into a modern urban center with ambitious sustainability goals (including net-zero targets by 2041), demand for professional electrician services will remain robust. Our commitment to delivering certified, community-focused electrical solutions positions us as the preferred partner for Birmingham residents and businesses seeking reliable, compliant service. This sales report confirms that strategic investment in Birmingham-specific market understanding – from navigating local council requirements to addressing neighborhood-specific infrastructure challenges – is paramount to achieving leadership in this critical sector of the United Kingdom economy.</w:t>
      </w:r>
    </w:p>
    <w:p>
      <w:pPr>
        <w:pStyle w:val="BodyText"/>
      </w:pPr>
      <w:r>
        <w:rPr>
          <w:bCs/>
          <w:b/>
        </w:rPr>
        <w:t xml:space="preserve">Prepared By:</w:t>
      </w:r>
      <w:r>
        <w:t xml:space="preserve"> </w:t>
      </w:r>
      <w:r>
        <w:t xml:space="preserve">Birmingham Electrical Solutions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United Kingdom Birmingham Market Analysis</dc:title>
  <dc:creator/>
  <dc:language>en</dc:language>
  <cp:keywords/>
  <dcterms:created xsi:type="dcterms:W3CDTF">2026-07-24T00:15:21Z</dcterms:created>
  <dcterms:modified xsi:type="dcterms:W3CDTF">2026-07-24T00:15:21Z</dcterms:modified>
</cp:coreProperties>
</file>

<file path=docProps/custom.xml><?xml version="1.0" encoding="utf-8"?>
<Properties xmlns="http://schemas.openxmlformats.org/officeDocument/2006/custom-properties" xmlns:vt="http://schemas.openxmlformats.org/officeDocument/2006/docPropsVTypes"/>
</file>