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Analysis</w:t>
      </w:r>
    </w:p>
    <w:bookmarkStart w:id="27" w:name="Xdae82afc94a4170e9d54814509950b7bb73d3c6"/>
    <w:p>
      <w:pPr>
        <w:pStyle w:val="Heading1"/>
      </w:pPr>
      <w:r>
        <w:t xml:space="preserve">Electronics Engineer Sales Report: Driving Innovation in Australia Sydney's Technology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Sydney Technology Group</w:t>
      </w:r>
      <w:r>
        <w:br/>
      </w:r>
      <w:r>
        <w:rPr>
          <w:bCs/>
          <w:b/>
        </w:rPr>
        <w:t xml:space="preserve">Prepared By:</w:t>
      </w:r>
      <w:r>
        <w:t xml:space="preserve"> </w:t>
      </w:r>
      <w:r>
        <w:t xml:space="preserve">Sales Strategy Division, Australia Sydney Operations</w:t>
      </w:r>
    </w:p>
    <w:bookmarkStart w:id="20" w:name="i.-executive-summary"/>
    <w:p>
      <w:pPr>
        <w:pStyle w:val="Heading2"/>
      </w:pPr>
      <w:r>
        <w:t xml:space="preserve">I. Executive Summary</w:t>
      </w:r>
    </w:p>
    <w:p>
      <w:pPr>
        <w:pStyle w:val="FirstParagraph"/>
      </w:pPr>
      <w:r>
        <w:t xml:space="preserve">This comprehensive Sales Report details the strategic impact of our Electronics Engineering team on revenue growth within the Australia Sydney market. As technology demands escalate across manufacturing, telecommunications, and smart infrastructure sectors, our specialized Electronics Engineers have become pivotal in converting high-value opportunities into tangible sales. The report confirms a 34% year-over-year increase in engineering-driven revenue streams since integrating domain-specialized engineers into our sales framework. This growth positions us at the forefront of Australia Sydney's rapidly evolving electronics ecosystem, where demand for certified specialists exceeds supply by 27% (Source: Australian Engineering Council, Q3 2023).</w:t>
      </w:r>
    </w:p>
    <w:bookmarkEnd w:id="20"/>
    <w:bookmarkStart w:id="21" w:name="X5e9cd009abdc44c0c0859f5dc0eb449cab367d5"/>
    <w:p>
      <w:pPr>
        <w:pStyle w:val="Heading2"/>
      </w:pPr>
      <w:r>
        <w:t xml:space="preserve">II. Market Context: Electronics Engineering Demand in Australia Sydney</w:t>
      </w:r>
    </w:p>
    <w:p>
      <w:pPr>
        <w:pStyle w:val="FirstParagraph"/>
      </w:pPr>
      <w:r>
        <w:t xml:space="preserve">Sydney's status as Australia's primary technology hub creates unparalleled opportunities for Electronics Engineers. With over 4,800 tech firms operating in the metropolitan area (including major players like Cisco, Telstra, and local startups), the demand for embedded systems expertise has surged by 19% annually. Our Sales Report identifies three critical market shifts driving this trend:</w:t>
      </w:r>
    </w:p>
    <w:p>
      <w:pPr>
        <w:numPr>
          <w:ilvl w:val="0"/>
          <w:numId w:val="1001"/>
        </w:numPr>
        <w:pStyle w:val="Compact"/>
      </w:pPr>
      <w:r>
        <w:rPr>
          <w:bCs/>
          <w:b/>
        </w:rPr>
        <w:t xml:space="preserve">Smart City Initiatives:</w:t>
      </w:r>
      <w:r>
        <w:t xml:space="preserve"> </w:t>
      </w:r>
      <w:r>
        <w:t xml:space="preserve">NSW Government's $12B Smart Cities Plan requires electronics integration across transport, energy, and public safety systems.</w:t>
      </w:r>
    </w:p>
    <w:p>
      <w:pPr>
        <w:numPr>
          <w:ilvl w:val="0"/>
          <w:numId w:val="1001"/>
        </w:numPr>
        <w:pStyle w:val="Compact"/>
      </w:pPr>
      <w:r>
        <w:rPr>
          <w:bCs/>
          <w:b/>
        </w:rPr>
        <w:t xml:space="preserve">Renewable Energy Transition:</w:t>
      </w:r>
      <w:r>
        <w:t xml:space="preserve"> </w:t>
      </w:r>
      <w:r>
        <w:t xml:space="preserve">68% of Sydney-based manufacturers now require Electronics Engineers for solar/wind power management systems (Industry Report: Clean Energy Council).</w:t>
      </w:r>
    </w:p>
    <w:p>
      <w:pPr>
        <w:numPr>
          <w:ilvl w:val="0"/>
          <w:numId w:val="1001"/>
        </w:numPr>
        <w:pStyle w:val="Compact"/>
      </w:pPr>
      <w:r>
        <w:rPr>
          <w:bCs/>
          <w:b/>
        </w:rPr>
        <w:t xml:space="preserve">5G Infrastructure Rollout:</w:t>
      </w:r>
      <w:r>
        <w:t xml:space="preserve"> </w:t>
      </w:r>
      <w:r>
        <w:t xml:space="preserve">Telstra's $1.2B Sydney network expansion demands specialized RF and IoT engineering talent.</w:t>
      </w:r>
    </w:p>
    <w:bookmarkEnd w:id="21"/>
    <w:bookmarkStart w:id="22" w:name="X07732701b399f08f603bde37723e3a71aa01f31"/>
    <w:p>
      <w:pPr>
        <w:pStyle w:val="Heading2"/>
      </w:pPr>
      <w:r>
        <w:t xml:space="preserve">III. Electronics Engineer Performance Metrics</w:t>
      </w:r>
    </w:p>
    <w:p>
      <w:pPr>
        <w:pStyle w:val="FirstParagraph"/>
      </w:pPr>
      <w:r>
        <w:t xml:space="preserve">This quarter, our Electronics Engineers directly contributed to 73% of all enterprise-level sales (exceeding the industry benchmark of 48%).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Current Quarter</w:t>
            </w:r>
          </w:p>
        </w:tc>
        <w:tc>
          <w:tcPr/>
          <w:p>
            <w:pPr>
              <w:pStyle w:val="Compact"/>
              <w:jc w:val="left"/>
            </w:pPr>
            <w:r>
              <w:t xml:space="preserve">Previous Quarter</w:t>
            </w:r>
          </w:p>
        </w:tc>
        <w:tc>
          <w:tcPr/>
          <w:p>
            <w:pPr>
              <w:pStyle w:val="Compact"/>
              <w:jc w:val="left"/>
            </w:pPr>
            <w:r>
              <w:t xml:space="preserve">% Change</w:t>
            </w:r>
          </w:p>
        </w:tc>
      </w:tr>
      <w:tr>
        <w:tc>
          <w:tcPr/>
          <w:p>
            <w:pPr>
              <w:pStyle w:val="Compact"/>
              <w:jc w:val="left"/>
            </w:pPr>
            <w:r>
              <w:t xml:space="preserve">Sales Conversion Rate (Engineering-Supported Deals)</w:t>
            </w:r>
          </w:p>
        </w:tc>
        <w:tc>
          <w:tcPr/>
          <w:p>
            <w:pPr>
              <w:pStyle w:val="Compact"/>
              <w:jc w:val="left"/>
            </w:pPr>
            <w:r>
              <w:t xml:space="preserve">68%</w:t>
            </w:r>
          </w:p>
        </w:tc>
        <w:tc>
          <w:tcPr/>
          <w:p>
            <w:pPr>
              <w:pStyle w:val="Compact"/>
              <w:jc w:val="left"/>
            </w:pPr>
            <w:r>
              <w:t xml:space="preserve">52%</w:t>
            </w:r>
          </w:p>
        </w:tc>
        <w:tc>
          <w:tcPr/>
          <w:p>
            <w:pPr>
              <w:pStyle w:val="Compact"/>
              <w:jc w:val="left"/>
            </w:pPr>
            <w:r>
              <w:t xml:space="preserve">+30.8%</w:t>
            </w:r>
          </w:p>
        </w:tc>
      </w:tr>
      <w:tr>
        <w:tc>
          <w:tcPr/>
          <w:p>
            <w:pPr>
              <w:pStyle w:val="Compact"/>
              <w:jc w:val="left"/>
            </w:pPr>
            <w:r>
              <w:t xml:space="preserve">Average Deal Size</w:t>
            </w:r>
          </w:p>
        </w:tc>
        <w:tc>
          <w:tcPr/>
          <w:p>
            <w:pPr>
              <w:pStyle w:val="Compact"/>
              <w:jc w:val="left"/>
            </w:pPr>
            <w:r>
              <w:t xml:space="preserve">$142,000</w:t>
            </w:r>
          </w:p>
        </w:tc>
        <w:tc>
          <w:tcPr/>
          <w:p>
            <w:pPr>
              <w:pStyle w:val="Compact"/>
              <w:jc w:val="left"/>
            </w:pPr>
            <w:r>
              <w:t xml:space="preserve">$98,500</w:t>
            </w:r>
          </w:p>
        </w:tc>
        <w:tc>
          <w:tcPr/>
          <w:p>
            <w:pPr>
              <w:pStyle w:val="Compact"/>
              <w:jc w:val="left"/>
            </w:pPr>
            <w:r>
              <w:t xml:space="preserve">+44.2%</w:t>
            </w:r>
          </w:p>
        </w:tc>
      </w:tr>
      <w:tr>
        <w:tc>
          <w:tcPr/>
          <w:p>
            <w:pPr>
              <w:pStyle w:val="Compact"/>
              <w:jc w:val="left"/>
            </w:pPr>
            <w:r>
              <w:t xml:space="preserve">Customer Retention Rate (with Engineering Support)</w:t>
            </w:r>
          </w:p>
        </w:tc>
        <w:tc>
          <w:tcPr/>
          <w:p>
            <w:pPr>
              <w:pStyle w:val="Compact"/>
              <w:jc w:val="left"/>
            </w:pPr>
            <w:r>
              <w:t xml:space="preserve">91%</w:t>
            </w:r>
          </w:p>
        </w:tc>
        <w:tc>
          <w:tcPr/>
          <w:p>
            <w:pPr>
              <w:pStyle w:val="Compact"/>
              <w:jc w:val="left"/>
            </w:pPr>
            <w:r>
              <w:t xml:space="preserve">76%</w:t>
            </w:r>
          </w:p>
        </w:tc>
        <w:tc>
          <w:tcPr/>
          <w:p>
            <w:pPr>
              <w:pStyle w:val="Compact"/>
              <w:jc w:val="left"/>
            </w:pPr>
            <w:r>
              <w:t xml:space="preserve">+15.8%</w:t>
            </w:r>
          </w:p>
        </w:tc>
      </w:tr>
      <w:tr>
        <w:tc>
          <w:tcPr/>
          <w:p>
            <w:pPr>
              <w:pStyle w:val="Compact"/>
              <w:jc w:val="left"/>
            </w:pPr>
            <w:r>
              <w:t xml:space="preserve">Lead-to-Close Time</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w:t>
            </w:r>
          </w:p>
        </w:tc>
      </w:tr>
    </w:tbl>
    <w:p>
      <w:pPr>
        <w:pStyle w:val="BodyText"/>
      </w:pPr>
      <w:r>
        <w:t xml:space="preserve">The data confirms that Sydney clients consistently prefer to engage with our Electronics Engineers early in the sales cycle, particularly for complex projects requiring PCB design validation or compliance testing (AS/NZS 3100 series). Our engineers' ability to speak technical language during client consultations has reduced post-sale revisions by 55%.</w:t>
      </w:r>
    </w:p>
    <w:bookmarkEnd w:id="22"/>
    <w:bookmarkStart w:id="23" w:name="X269909f261a395f89e88796deda0dd1643f54da"/>
    <w:p>
      <w:pPr>
        <w:pStyle w:val="Heading2"/>
      </w:pPr>
      <w:r>
        <w:t xml:space="preserve">IV. Case Study: Sydney Transport Authority Project</w:t>
      </w:r>
    </w:p>
    <w:p>
      <w:pPr>
        <w:pStyle w:val="FirstParagraph"/>
      </w:pPr>
      <w:r>
        <w:t xml:space="preserve">A prime example of Electronics Engineer-driven sales success is our $3.8M contract with Sydney Transport Authority for AI-powered traffic management systems. The project was won through our Electronics Engineer, Sarah Chen (RPEQ), who:</w:t>
      </w:r>
    </w:p>
    <w:p>
      <w:pPr>
        <w:numPr>
          <w:ilvl w:val="0"/>
          <w:numId w:val="1002"/>
        </w:numPr>
        <w:pStyle w:val="Compact"/>
      </w:pPr>
      <w:r>
        <w:t xml:space="preserve">Conducted a free technical assessment identifying critical power integrity issues in the client's legacy system.</w:t>
      </w:r>
    </w:p>
    <w:p>
      <w:pPr>
        <w:numPr>
          <w:ilvl w:val="0"/>
          <w:numId w:val="1002"/>
        </w:numPr>
        <w:pStyle w:val="Compact"/>
      </w:pPr>
      <w:r>
        <w:t xml:space="preserve">Designed a custom RF solution compliant with Australian Communications and Media Authority (ACMA) regulations.</w:t>
      </w:r>
    </w:p>
    <w:p>
      <w:pPr>
        <w:numPr>
          <w:ilvl w:val="0"/>
          <w:numId w:val="1002"/>
        </w:numPr>
        <w:pStyle w:val="Compact"/>
      </w:pPr>
      <w:r>
        <w:t xml:space="preserve">Presented a cost-benefit analysis showing 37% operational savings over competitors' proposals.</w:t>
      </w:r>
    </w:p>
    <w:p>
      <w:pPr>
        <w:pStyle w:val="FirstParagraph"/>
      </w:pPr>
      <w:r>
        <w:t xml:space="preserve">This single deal contributed 12.3% to our quarterly revenue target and generated three referral opportunities with other NSW government agencies. As Sarah noted: "In Australia Sydney's competitive landscape, clients don't buy boxes—they buy engineered solutions that solve their specific infrastructure challenges."</w:t>
      </w:r>
    </w:p>
    <w:bookmarkEnd w:id="23"/>
    <w:bookmarkStart w:id="24" w:name="X41297b29abc4939b2a3a93fb37cc640b74becb0"/>
    <w:p>
      <w:pPr>
        <w:pStyle w:val="Heading2"/>
      </w:pPr>
      <w:r>
        <w:t xml:space="preserve">V. Challenges Specific to Australia Sydney Market</w:t>
      </w:r>
    </w:p>
    <w:p>
      <w:pPr>
        <w:pStyle w:val="FirstParagraph"/>
      </w:pPr>
      <w:r>
        <w:t xml:space="preserve">While opportunities abound, our Sales Report identifies two critical hurdles requiring strategic adjustment:</w:t>
      </w:r>
    </w:p>
    <w:p>
      <w:pPr>
        <w:numPr>
          <w:ilvl w:val="0"/>
          <w:numId w:val="1003"/>
        </w:numPr>
        <w:pStyle w:val="Compact"/>
      </w:pPr>
      <w:r>
        <w:rPr>
          <w:bCs/>
          <w:b/>
        </w:rPr>
        <w:t xml:space="preserve">Talent Acquisition Gap:</w:t>
      </w:r>
      <w:r>
        <w:t xml:space="preserve"> </w:t>
      </w:r>
      <w:r>
        <w:t xml:space="preserve">83% of Sydney electronics firms report difficulty hiring engineers with both ASIC design experience and Australian regulatory knowledge. Our sales team now includes pre-screened candidates in the qualification phase.</w:t>
      </w:r>
    </w:p>
    <w:p>
      <w:pPr>
        <w:numPr>
          <w:ilvl w:val="0"/>
          <w:numId w:val="1003"/>
        </w:numPr>
        <w:pStyle w:val="Compact"/>
      </w:pPr>
      <w:r>
        <w:rPr>
          <w:bCs/>
          <w:b/>
        </w:rPr>
        <w:t xml:space="preserve">Compliance Complexity:</w:t>
      </w:r>
      <w:r>
        <w:t xml:space="preserve"> </w:t>
      </w:r>
      <w:r>
        <w:t xml:space="preserve">Projects involving medical devices (e.g., Sydney-based Medtronic) require dual compliance with TGA and CE standards. We've embedded two Electronics Engineers with TGA certification into our sales process to streamline proposals.</w:t>
      </w:r>
    </w:p>
    <w:p>
      <w:pPr>
        <w:pStyle w:val="FirstParagraph"/>
      </w:pPr>
      <w:r>
        <w:t xml:space="preserve">We've addressed these through the "Sydney Engineering Accelerator" program, which provides 120-hour specialized training in Australian standards for all new engineers joining our sales-embedded team.</w:t>
      </w:r>
    </w:p>
    <w:bookmarkEnd w:id="24"/>
    <w:bookmarkStart w:id="25" w:name="X0d31409d740f798afbdfb3b72bcdd2c0c5eb381"/>
    <w:p>
      <w:pPr>
        <w:pStyle w:val="Heading2"/>
      </w:pPr>
      <w:r>
        <w:t xml:space="preserve">VI. Strategic Recommendations for Australia Sydney Operations</w:t>
      </w:r>
    </w:p>
    <w:p>
      <w:pPr>
        <w:pStyle w:val="FirstParagraph"/>
      </w:pPr>
      <w:r>
        <w:t xml:space="preserve">Based on this Sales Report, we propose three priority actions:</w:t>
      </w:r>
    </w:p>
    <w:p>
      <w:pPr>
        <w:numPr>
          <w:ilvl w:val="0"/>
          <w:numId w:val="1004"/>
        </w:numPr>
        <w:pStyle w:val="Compact"/>
      </w:pPr>
      <w:r>
        <w:rPr>
          <w:bCs/>
          <w:b/>
        </w:rPr>
        <w:t xml:space="preserve">Expand Engineering Sales Pods:</w:t>
      </w:r>
      <w:r>
        <w:t xml:space="preserve"> </w:t>
      </w:r>
      <w:r>
        <w:t xml:space="preserve">Create dedicated Electronics Engineer + Account Manager teams for key sectors (Smart Cities, Renewable Energy, Telecom) in Sydney. This will target a $12M revenue opportunity identified in the Q4 pipeline.</w:t>
      </w:r>
    </w:p>
    <w:p>
      <w:pPr>
        <w:numPr>
          <w:ilvl w:val="0"/>
          <w:numId w:val="1004"/>
        </w:numPr>
        <w:pStyle w:val="Compact"/>
      </w:pPr>
      <w:r>
        <w:rPr>
          <w:bCs/>
          <w:b/>
        </w:rPr>
        <w:t xml:space="preserve">Leverage Government Partnerships:</w:t>
      </w:r>
      <w:r>
        <w:t xml:space="preserve"> </w:t>
      </w:r>
      <w:r>
        <w:t xml:space="preserve">Co-develop training modules with TAFE NSW and University of Technology Sydney to address the skills gap while generating lead sources for sales teams.</w:t>
      </w:r>
    </w:p>
    <w:p>
      <w:pPr>
        <w:numPr>
          <w:ilvl w:val="0"/>
          <w:numId w:val="1004"/>
        </w:numPr>
        <w:pStyle w:val="Compact"/>
      </w:pPr>
      <w:r>
        <w:rPr>
          <w:bCs/>
          <w:b/>
        </w:rPr>
        <w:t xml:space="preserve">Implement AI-Powered Engineering Analytics:</w:t>
      </w:r>
      <w:r>
        <w:t xml:space="preserve"> </w:t>
      </w:r>
      <w:r>
        <w:t xml:space="preserve">Deploy predictive tools to identify Sydney-based clients needing electronics upgrades before they initiate RFQs, targeting a 25% increase in early-stage engagement.</w:t>
      </w:r>
    </w:p>
    <w:bookmarkEnd w:id="25"/>
    <w:bookmarkStart w:id="26" w:name="vii.-conclusion"/>
    <w:p>
      <w:pPr>
        <w:pStyle w:val="Heading2"/>
      </w:pPr>
      <w:r>
        <w:t xml:space="preserve">VII. Conclusion</w:t>
      </w:r>
    </w:p>
    <w:p>
      <w:pPr>
        <w:pStyle w:val="FirstParagraph"/>
      </w:pPr>
      <w:r>
        <w:t xml:space="preserve">This Sales Report unequivocally demonstrates that Electronics Engineers are not merely technical resources—they are strategic revenue drivers in the Australia Sydney market. Our data shows that every $1 invested in engineering sales capabilities generates $4.70 in attributable revenue, outperforming standard sales approaches by 3.2x. As Sydney continues to lead Australia's digital transformation, we must deepen our integration of Electronics Engineers into all customer touchpoints.</w:t>
      </w:r>
    </w:p>
    <w:p>
      <w:pPr>
        <w:pStyle w:val="BodyText"/>
      </w:pPr>
      <w:r>
        <w:t xml:space="preserve">The future of technology sales in Australia Sydney belongs to those who combine engineering expertise with commercial acumen. By positioning our Electronics Engineers as solution architects rather than support staff, we've not only closed more deals but are setting new industry benchmarks for technical sales excellence. With 2024's projected $850M expansion in Sydney's electronics market (Deloitte Australia), our engineering-led approach ensures sustained competitive advantage in this critical Australian market.</w:t>
      </w:r>
    </w:p>
    <w:p>
      <w:pPr>
        <w:pStyle w:val="BodyText"/>
      </w:pPr>
      <w:r>
        <w:rPr>
          <w:iCs/>
          <w:i/>
        </w:rPr>
        <w:t xml:space="preserve">"In the high-stakes arena of Australia Sydney technology procurement, you don't win with products—you win with engineered relationships. Our Electronics Engineers are the bridge between innovation and revenue."</w:t>
      </w:r>
      <w:r>
        <w:br/>
      </w:r>
      <w:r>
        <w:t xml:space="preserve">- Michael Tanaka, Director of Sales Strategy, Sydney Technology Group</w:t>
      </w:r>
    </w:p>
    <w:p>
      <w:pPr>
        <w:pStyle w:val="BodyText"/>
      </w:pPr>
      <w:r>
        <w:rPr>
          <w:bCs/>
          <w:b/>
        </w:rPr>
        <w:t xml:space="preserve">Report 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Australia Sydney Market Analysis</dc:title>
  <dc:creator/>
  <dc:language>en</dc:language>
  <cp:keywords/>
  <dcterms:created xsi:type="dcterms:W3CDTF">2026-07-14T19:59:36Z</dcterms:created>
  <dcterms:modified xsi:type="dcterms:W3CDTF">2026-07-14T19:59:36Z</dcterms:modified>
</cp:coreProperties>
</file>

<file path=docProps/custom.xml><?xml version="1.0" encoding="utf-8"?>
<Properties xmlns="http://schemas.openxmlformats.org/officeDocument/2006/custom-properties" xmlns:vt="http://schemas.openxmlformats.org/officeDocument/2006/docPropsVTypes"/>
</file>