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Performance</w:t>
      </w:r>
      <w:r>
        <w:t xml:space="preserve"> </w:t>
      </w:r>
      <w:r>
        <w:t xml:space="preserve">in</w:t>
      </w:r>
      <w:r>
        <w:t xml:space="preserve"> </w:t>
      </w:r>
      <w:r>
        <w:t xml:space="preserve">Germany</w:t>
      </w:r>
      <w:r>
        <w:t xml:space="preserve"> </w:t>
      </w:r>
      <w:r>
        <w:t xml:space="preserve">Berlin</w:t>
      </w:r>
      <w:r>
        <w:t xml:space="preserve"> </w:t>
      </w:r>
      <w:r>
        <w:t xml:space="preserve">Market</w:t>
      </w:r>
    </w:p>
    <w:bookmarkStart w:id="27" w:name="Xd159ebe9b7995b2ac96aff5976c6b95f6f09f6d"/>
    <w:p>
      <w:pPr>
        <w:pStyle w:val="Heading1"/>
      </w:pPr>
      <w:r>
        <w:t xml:space="preserve">Q3 2024 Sales Report | Electronics Engineer Performance Analysis for Germany Berlin Market</w:t>
      </w:r>
    </w:p>
    <w:p>
      <w:pPr>
        <w:pStyle w:val="FirstParagraph"/>
      </w:pPr>
      <w:r>
        <w:t xml:space="preserve">Prepared For: Executive Leadership, Global Engineering Division</w:t>
      </w:r>
      <w:r>
        <w:br/>
      </w:r>
      <w:r>
        <w:t xml:space="preserve">Prepared By: Strategic Sales &amp; Engineering Intelligence Team</w:t>
      </w:r>
      <w:r>
        <w:br/>
      </w:r>
      <w:r>
        <w:t xml:space="preserve">Date: October 26, 2024</w:t>
      </w:r>
    </w:p>
    <w:bookmarkStart w:id="20" w:name="executive-summary"/>
    <w:p>
      <w:pPr>
        <w:pStyle w:val="Heading2"/>
      </w:pPr>
      <w:r>
        <w:t xml:space="preserve">Executive Summary</w:t>
      </w:r>
    </w:p>
    <w:p>
      <w:pPr>
        <w:pStyle w:val="FirstParagraph"/>
      </w:pPr>
      <w:r>
        <w:t xml:space="preserve">This comprehensive Sales Report details the performance of our Electronics Engineering team in driving revenue growth within the Germany Berlin market during Q3 2024. The report confirms that strategic deployment of our</w:t>
      </w:r>
      <w:r>
        <w:t xml:space="preserve"> </w:t>
      </w:r>
      <w:r>
        <w:rPr>
          <w:bCs/>
          <w:b/>
        </w:rPr>
        <w:t xml:space="preserve">Electronics Engineer</w:t>
      </w:r>
      <w:r>
        <w:t xml:space="preserve"> </w:t>
      </w:r>
      <w:r>
        <w:t xml:space="preserve">resources directly contributed to a 18.7% YoY increase in regional sales, exceeding target by 5.3%. Key factors include tailored hardware solutions for Berlin’s manufacturing and IoT sectors, deep integration with local engineering ecosystems, and responsive technical support that addressed Germany’s stringent regulatory landscape. This success underscores the critical role of specialized</w:t>
      </w:r>
      <w:r>
        <w:t xml:space="preserve"> </w:t>
      </w:r>
      <w:r>
        <w:rPr>
          <w:bCs/>
          <w:b/>
        </w:rPr>
        <w:t xml:space="preserve">Electronics Engineer</w:t>
      </w:r>
      <w:r>
        <w:t xml:space="preserve"> </w:t>
      </w:r>
      <w:r>
        <w:t xml:space="preserve">expertise in capturing market share across</w:t>
      </w:r>
      <w:r>
        <w:t xml:space="preserve"> </w:t>
      </w:r>
      <w:r>
        <w:rPr>
          <w:bCs/>
          <w:b/>
        </w:rPr>
        <w:t xml:space="preserve">Germany Berlin</w:t>
      </w:r>
      <w:r>
        <w:t xml:space="preserve">'s competitive tech environment.</w:t>
      </w:r>
    </w:p>
    <w:bookmarkEnd w:id="20"/>
    <w:bookmarkStart w:id="21" w:name="X5eb472fe25c43cde37055d50b7be526341650bf"/>
    <w:p>
      <w:pPr>
        <w:pStyle w:val="Heading2"/>
      </w:pPr>
      <w:r>
        <w:t xml:space="preserve">Market Context: Germany Berlin’s Electronics Landscape</w:t>
      </w:r>
    </w:p>
    <w:p>
      <w:pPr>
        <w:pStyle w:val="FirstParagraph"/>
      </w:pPr>
      <w:r>
        <w:t xml:space="preserve">Berlin has emerged as a pivotal hub for Europe’s electronics innovation, driven by its status as a startup capital (with over 1,400 tech startups in 2024) and proximity to Germany’s industrial heartland. The city hosts major players like Siemens Campus Berlin and Fraunhofer Institutes, creating intense demand for cutting-edge embedded systems, IoT sensors, and automation controllers compliant with German standards (DIN EN ISO 9001). Our</w:t>
      </w:r>
      <w:r>
        <w:t xml:space="preserve"> </w:t>
      </w:r>
      <w:r>
        <w:rPr>
          <w:bCs/>
          <w:b/>
        </w:rPr>
        <w:t xml:space="preserve">Electronics Engineer</w:t>
      </w:r>
      <w:r>
        <w:t xml:space="preserve"> </w:t>
      </w:r>
      <w:r>
        <w:t xml:space="preserve">team has capitalized on this by focusing on three high-potential verticals: smart factory integration (</w:t>
      </w:r>
      <w:r>
        <w:rPr>
          <w:iCs/>
          <w:i/>
        </w:rPr>
        <w:t xml:space="preserve">Industry 4.0</w:t>
      </w:r>
      <w:r>
        <w:t xml:space="preserve">), automotive sensor development, and renewable energy management systems—segments growing at 22% CAGR in Berlin alone.</w:t>
      </w:r>
    </w:p>
    <w:p>
      <w:pPr>
        <w:pStyle w:val="BodyText"/>
      </w:pPr>
      <w:r>
        <w:t xml:space="preserve">The German market prioritizes product longevity and regulatory alignment, making technical expertise non-negotiable. A recent industry survey by BITKOM confirmed that 78% of German manufacturers select vendors based on engineering team credibility. In</w:t>
      </w:r>
      <w:r>
        <w:t xml:space="preserve"> </w:t>
      </w:r>
      <w:r>
        <w:rPr>
          <w:bCs/>
          <w:b/>
        </w:rPr>
        <w:t xml:space="preserve">Germany Berlin</w:t>
      </w:r>
      <w:r>
        <w:t xml:space="preserve">, where competition from local firms like Bosch Sensortec is fierce, our</w:t>
      </w:r>
      <w:r>
        <w:t xml:space="preserve"> </w:t>
      </w:r>
      <w:r>
        <w:rPr>
          <w:bCs/>
          <w:b/>
        </w:rPr>
        <w:t xml:space="preserve">Electronics Engineer</w:t>
      </w:r>
      <w:r>
        <w:t xml:space="preserve">'s ability to navigate TÜV certification and GDPR-compliant data architecture has been a decisive differentiator.</w:t>
      </w:r>
    </w:p>
    <w:bookmarkEnd w:id="21"/>
    <w:bookmarkStart w:id="22" w:name="sales-performance-metrics-q3-2024"/>
    <w:p>
      <w:pPr>
        <w:pStyle w:val="Heading2"/>
      </w:pPr>
      <w:r>
        <w:t xml:space="preserve">Sales Performance Metrics (Q3 2024)</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2024 Result</w:t>
            </w:r>
          </w:p>
        </w:tc>
        <w:tc>
          <w:tcPr/>
          <w:p>
            <w:pPr>
              <w:pStyle w:val="Compact"/>
              <w:jc w:val="left"/>
            </w:pPr>
            <w:r>
              <w:t xml:space="preserve">Q3 2023 Result</w:t>
            </w:r>
          </w:p>
        </w:tc>
        <w:tc>
          <w:tcPr/>
          <w:p>
            <w:pPr>
              <w:pStyle w:val="Compact"/>
              <w:jc w:val="left"/>
            </w:pPr>
            <w:r>
              <w:t xml:space="preserve">% Change (YoY)</w:t>
            </w:r>
          </w:p>
        </w:tc>
      </w:tr>
      <w:tr>
        <w:tc>
          <w:tcPr/>
          <w:p>
            <w:pPr>
              <w:pStyle w:val="Compact"/>
              <w:jc w:val="left"/>
            </w:pPr>
            <w:r>
              <w:t xml:space="preserve">Total Sales Revenue (Berlin)</w:t>
            </w:r>
          </w:p>
        </w:tc>
        <w:tc>
          <w:tcPr/>
          <w:p>
            <w:pPr>
              <w:pStyle w:val="Compact"/>
              <w:jc w:val="left"/>
            </w:pPr>
            <w:r>
              <w:t xml:space="preserve">€4.82M</w:t>
            </w:r>
          </w:p>
        </w:tc>
        <w:tc>
          <w:tcPr/>
          <w:p>
            <w:pPr>
              <w:pStyle w:val="Compact"/>
              <w:jc w:val="left"/>
            </w:pPr>
            <w:r>
              <w:t xml:space="preserve">€4.06M</w:t>
            </w:r>
          </w:p>
        </w:tc>
        <w:tc>
          <w:tcPr/>
          <w:p>
            <w:pPr>
              <w:pStyle w:val="Compact"/>
              <w:jc w:val="left"/>
            </w:pPr>
            <w:r>
              <w:t xml:space="preserve">+18.7%</w:t>
            </w:r>
          </w:p>
        </w:tc>
      </w:tr>
      <w:tr>
        <w:tc>
          <w:tcPr/>
          <w:p>
            <w:pPr>
              <w:pStyle w:val="Compact"/>
              <w:jc w:val="left"/>
            </w:pPr>
            <w:r>
              <w:t xml:space="preserve">New Client Acquisition (Electronics Solutions)</w:t>
            </w:r>
          </w:p>
        </w:tc>
        <w:tc>
          <w:tcPr/>
          <w:p>
            <w:pPr>
              <w:pStyle w:val="Compact"/>
              <w:jc w:val="left"/>
            </w:pPr>
            <w:r>
              <w:t xml:space="preserve">27 Clients</w:t>
            </w:r>
          </w:p>
        </w:tc>
        <w:tc>
          <w:tcPr/>
          <w:p>
            <w:pPr>
              <w:pStyle w:val="Compact"/>
              <w:jc w:val="left"/>
            </w:pPr>
            <w:r>
              <w:t xml:space="preserve">19 Clients</w:t>
            </w:r>
          </w:p>
        </w:tc>
        <w:tc>
          <w:tcPr/>
          <w:p>
            <w:pPr>
              <w:pStyle w:val="Compact"/>
              <w:jc w:val="left"/>
            </w:pPr>
            <w:r>
              <w:t xml:space="preserve">+42.1%</w:t>
            </w:r>
          </w:p>
        </w:tc>
      </w:tr>
      <w:tr>
        <w:tc>
          <w:tcPr/>
          <w:p>
            <w:pPr>
              <w:pStyle w:val="Compact"/>
              <w:jc w:val="left"/>
            </w:pPr>
            <w:r>
              <w:t xml:space="preserve">Project Win Rate (Engineering-Driven)</w:t>
            </w:r>
          </w:p>
        </w:tc>
        <w:tc>
          <w:tcPr/>
          <w:p>
            <w:pPr>
              <w:pStyle w:val="Compact"/>
              <w:jc w:val="left"/>
            </w:pPr>
            <w:r>
              <w:t xml:space="preserve">68%</w:t>
            </w:r>
          </w:p>
        </w:tc>
        <w:tc>
          <w:tcPr/>
          <w:p>
            <w:pPr>
              <w:pStyle w:val="Compact"/>
              <w:jc w:val="left"/>
            </w:pPr>
            <w:r>
              <w:t xml:space="preserve">53%</w:t>
            </w:r>
          </w:p>
        </w:tc>
        <w:tc>
          <w:tcPr/>
          <w:p>
            <w:pPr>
              <w:pStyle w:val="Compact"/>
              <w:jc w:val="left"/>
            </w:pPr>
            <w:r>
              <w:t xml:space="preserve">+15 pts</w:t>
            </w:r>
          </w:p>
        </w:tc>
      </w:tr>
      <w:tr>
        <w:tc>
          <w:tcPr/>
          <w:p>
            <w:pPr>
              <w:pStyle w:val="Compact"/>
              <w:jc w:val="left"/>
            </w:pPr>
            <w:r>
              <w:t xml:space="preserve">Cross-Sell Success (Electronics + Software)</w:t>
            </w:r>
          </w:p>
        </w:tc>
        <w:tc>
          <w:tcPr/>
          <w:p>
            <w:pPr>
              <w:pStyle w:val="Compact"/>
              <w:jc w:val="left"/>
            </w:pPr>
            <w:r>
              <w:t xml:space="preserve">41% of New Deals</w:t>
            </w:r>
          </w:p>
        </w:tc>
        <w:tc>
          <w:tcPr/>
          <w:p>
            <w:pPr>
              <w:pStyle w:val="Compact"/>
              <w:jc w:val="left"/>
            </w:pPr>
            <w:r>
              <w:t xml:space="preserve">29%</w:t>
            </w:r>
          </w:p>
        </w:tc>
        <w:tc>
          <w:tcPr/>
          <w:p>
            <w:pPr>
              <w:pStyle w:val="Compact"/>
              <w:jc w:val="left"/>
            </w:pPr>
            <w:r>
              <w:t xml:space="preserve">+12 pts</w:t>
            </w:r>
          </w:p>
        </w:tc>
      </w:tr>
    </w:tbl>
    <w:p>
      <w:pPr>
        <w:pStyle w:val="BodyText"/>
      </w:pPr>
      <w:r>
        <w:t xml:space="preserve">The data reveals that deals involving direct input from our Berlin-based Electronics Engineer team achieved 3.2x higher average deal size than non-engineered solutions. Notable wins include:</w:t>
      </w:r>
    </w:p>
    <w:p>
      <w:pPr>
        <w:numPr>
          <w:ilvl w:val="0"/>
          <w:numId w:val="1001"/>
        </w:numPr>
        <w:pStyle w:val="Compact"/>
      </w:pPr>
      <w:r>
        <w:t xml:space="preserve">A €1.1M contract with a Berlin automotive Tier-1 supplier for custom LiDAR sensor modules (engineered to meet EU E-Mark safety standards).</w:t>
      </w:r>
    </w:p>
    <w:p>
      <w:pPr>
        <w:numPr>
          <w:ilvl w:val="0"/>
          <w:numId w:val="1001"/>
        </w:numPr>
        <w:pStyle w:val="Compact"/>
      </w:pPr>
      <w:r>
        <w:t xml:space="preserve">Implementation of our industrial IoT platform for a renewable energy cluster in Potsdam, leveraging real-time data analytics developed by the Electronics Engineer team.</w:t>
      </w:r>
    </w:p>
    <w:p>
      <w:pPr>
        <w:numPr>
          <w:ilvl w:val="0"/>
          <w:numId w:val="1001"/>
        </w:numPr>
        <w:pStyle w:val="Compact"/>
      </w:pPr>
      <w:r>
        <w:t xml:space="preserve">A strategic partnership with a Berlin tech incubator, providing hardware design support that generated 15+ pilot projects within two months.</w:t>
      </w:r>
    </w:p>
    <w:bookmarkEnd w:id="22"/>
    <w:bookmarkStart w:id="23" w:name="X61995bdbfc358a8a853af9634f75ef0df6eba50"/>
    <w:p>
      <w:pPr>
        <w:pStyle w:val="Heading2"/>
      </w:pPr>
      <w:r>
        <w:t xml:space="preserve">Role of the Electronics Engineer in Sales Success</w:t>
      </w:r>
    </w:p>
    <w:p>
      <w:pPr>
        <w:pStyle w:val="FirstParagraph"/>
      </w:pPr>
      <w:r>
        <w:t xml:space="preserve">Our</w:t>
      </w:r>
      <w:r>
        <w:t xml:space="preserve"> </w:t>
      </w:r>
      <w:r>
        <w:rPr>
          <w:bCs/>
          <w:b/>
        </w:rPr>
        <w:t xml:space="preserve">Electronics Engineer</w:t>
      </w:r>
      <w:r>
        <w:t xml:space="preserve"> </w:t>
      </w:r>
      <w:r>
        <w:t xml:space="preserve">is no longer a technical support function but a revenue driver. In</w:t>
      </w:r>
      <w:r>
        <w:t xml:space="preserve"> </w:t>
      </w:r>
      <w:r>
        <w:rPr>
          <w:bCs/>
          <w:b/>
        </w:rPr>
        <w:t xml:space="preserve">Germany Berlin</w:t>
      </w:r>
      <w:r>
        <w:t xml:space="preserve">, they have redefined the sales cycle by:</w:t>
      </w:r>
    </w:p>
    <w:p>
      <w:pPr>
        <w:numPr>
          <w:ilvl w:val="0"/>
          <w:numId w:val="1002"/>
        </w:numPr>
        <w:pStyle w:val="Compact"/>
      </w:pPr>
      <w:r>
        <w:rPr>
          <w:bCs/>
          <w:b/>
        </w:rPr>
        <w:t xml:space="preserve">Technical Consultation as First Sales Touchpoint:</w:t>
      </w:r>
      <w:r>
        <w:t xml:space="preserve"> </w:t>
      </w:r>
      <w:r>
        <w:t xml:space="preserve">Engineers lead discovery sessions, translating client pain points (e.g., "We need fault-tolerant sensors for harsh factory environments") into viable solutions—reducing sales cycle time by 32%.</w:t>
      </w:r>
    </w:p>
    <w:p>
      <w:pPr>
        <w:numPr>
          <w:ilvl w:val="0"/>
          <w:numId w:val="1002"/>
        </w:numPr>
        <w:pStyle w:val="Compact"/>
      </w:pPr>
      <w:r>
        <w:rPr>
          <w:bCs/>
          <w:b/>
        </w:rPr>
        <w:t xml:space="preserve">Certification Acceleration:</w:t>
      </w:r>
      <w:r>
        <w:t xml:space="preserve"> </w:t>
      </w:r>
      <w:r>
        <w:t xml:space="preserve">Navigating German regulatory hurdles (e.g., CE marking, EMC testing) reduced time-to-market for client projects by 40%, a critical factor in Berlin’s fast-paced industrial landscape.</w:t>
      </w:r>
    </w:p>
    <w:p>
      <w:pPr>
        <w:numPr>
          <w:ilvl w:val="0"/>
          <w:numId w:val="1002"/>
        </w:numPr>
        <w:pStyle w:val="Compact"/>
      </w:pPr>
      <w:r>
        <w:rPr>
          <w:bCs/>
          <w:b/>
        </w:rPr>
        <w:t xml:space="preserve">Competitive Differentiation:</w:t>
      </w:r>
      <w:r>
        <w:t xml:space="preserve"> </w:t>
      </w:r>
      <w:r>
        <w:t xml:space="preserve">Proposing custom firmware integration that outperformed competitors’ off-the-shelf offerings in battery efficiency and data security—key concerns for German manufacturing clients.</w:t>
      </w:r>
    </w:p>
    <w:p>
      <w:pPr>
        <w:pStyle w:val="FirstParagraph"/>
      </w:pPr>
      <w:r>
        <w:t xml:space="preserve">This shift was catalyzed by our Berlin office’s strategic hire of a lead</w:t>
      </w:r>
      <w:r>
        <w:t xml:space="preserve"> </w:t>
      </w:r>
      <w:r>
        <w:rPr>
          <w:bCs/>
          <w:b/>
        </w:rPr>
        <w:t xml:space="preserve">Electronics Engineer</w:t>
      </w:r>
      <w:r>
        <w:t xml:space="preserve"> </w:t>
      </w:r>
      <w:r>
        <w:t xml:space="preserve">with 12 years of experience in German industrial automation. Their local network (including partnerships with Technische Universität Berlin) enabled rapid client onboarding and technical validation.</w:t>
      </w:r>
    </w:p>
    <w:bookmarkEnd w:id="23"/>
    <w:bookmarkStart w:id="24" w:name="key-challenges-in-germany-berlin-market"/>
    <w:p>
      <w:pPr>
        <w:pStyle w:val="Heading2"/>
      </w:pPr>
      <w:r>
        <w:t xml:space="preserve">Key Challenges in Germany Berlin Market</w:t>
      </w:r>
    </w:p>
    <w:p>
      <w:pPr>
        <w:pStyle w:val="FirstParagraph"/>
      </w:pPr>
      <w:r>
        <w:t xml:space="preserve">Despite strong growth, three challenges require strategic focus:</w:t>
      </w:r>
    </w:p>
    <w:p>
      <w:pPr>
        <w:numPr>
          <w:ilvl w:val="0"/>
          <w:numId w:val="1003"/>
        </w:numPr>
        <w:pStyle w:val="Compact"/>
      </w:pPr>
      <w:r>
        <w:rPr>
          <w:bCs/>
          <w:b/>
        </w:rPr>
        <w:t xml:space="preserve">Talent Shortage for Specialized Engineers:</w:t>
      </w:r>
      <w:r>
        <w:t xml:space="preserve"> </w:t>
      </w:r>
      <w:r>
        <w:t xml:space="preserve">Berlin’s tech boom has intensified competition for Electronics Engineers with EU regulatory expertise. We currently face a 17% vacancy rate in this role.</w:t>
      </w:r>
    </w:p>
    <w:p>
      <w:pPr>
        <w:numPr>
          <w:ilvl w:val="0"/>
          <w:numId w:val="1003"/>
        </w:numPr>
        <w:pStyle w:val="Compact"/>
      </w:pPr>
      <w:r>
        <w:rPr>
          <w:bCs/>
          <w:b/>
        </w:rPr>
        <w:t xml:space="preserve">Client Budget Constraints:</w:t>
      </w:r>
      <w:r>
        <w:t xml:space="preserve"> </w:t>
      </w:r>
      <w:r>
        <w:t xml:space="preserve">German manufacturers delayed non-essential capex due to economic uncertainty, forcing sales teams to emphasize ROI through engineering-led efficiency gains (e.g., "Our sensor reduces maintenance costs by 28%").</w:t>
      </w:r>
    </w:p>
    <w:p>
      <w:pPr>
        <w:numPr>
          <w:ilvl w:val="0"/>
          <w:numId w:val="1003"/>
        </w:numPr>
        <w:pStyle w:val="Compact"/>
      </w:pPr>
      <w:r>
        <w:rPr>
          <w:bCs/>
          <w:b/>
        </w:rPr>
        <w:t xml:space="preserve">Supply Chain Volatility:</w:t>
      </w:r>
      <w:r>
        <w:t xml:space="preserve"> </w:t>
      </w:r>
      <w:r>
        <w:t xml:space="preserve">Geopolitical tensions impacted critical semiconductor availability. Our Electronics Engineer team mitigated this by redesigning circuits with readily available components—avoiding $300K in potential project delays.</w:t>
      </w:r>
    </w:p>
    <w:bookmarkEnd w:id="24"/>
    <w:bookmarkStart w:id="25" w:name="strategic-recommendations-for-q4"/>
    <w:p>
      <w:pPr>
        <w:pStyle w:val="Heading2"/>
      </w:pPr>
      <w:r>
        <w:t xml:space="preserve">Strategic Recommendations for Q4</w:t>
      </w:r>
    </w:p>
    <w:p>
      <w:pPr>
        <w:pStyle w:val="FirstParagraph"/>
      </w:pPr>
      <w:r>
        <w:t xml:space="preserve">To sustain momentum in the Germany Berlin market, we propose:</w:t>
      </w:r>
    </w:p>
    <w:p>
      <w:pPr>
        <w:numPr>
          <w:ilvl w:val="0"/>
          <w:numId w:val="1004"/>
        </w:numPr>
        <w:pStyle w:val="Compact"/>
      </w:pPr>
      <w:r>
        <w:rPr>
          <w:bCs/>
          <w:b/>
        </w:rPr>
        <w:t xml:space="preserve">Double Down on Local Talent Pipeline:</w:t>
      </w:r>
      <w:r>
        <w:t xml:space="preserve"> </w:t>
      </w:r>
      <w:r>
        <w:t xml:space="preserve">Partner with HTW Berlin and TU Berlin to create a dedicated Electronics Engineering internship program, targeting 5 new hires by Q1 2025.</w:t>
      </w:r>
    </w:p>
    <w:p>
      <w:pPr>
        <w:numPr>
          <w:ilvl w:val="0"/>
          <w:numId w:val="1004"/>
        </w:numPr>
        <w:pStyle w:val="Compact"/>
      </w:pPr>
      <w:r>
        <w:rPr>
          <w:bCs/>
          <w:b/>
        </w:rPr>
        <w:t xml:space="preserve">Develop "Regulatory Compliance" Sales Playbook:</w:t>
      </w:r>
      <w:r>
        <w:t xml:space="preserve"> </w:t>
      </w:r>
      <w:r>
        <w:t xml:space="preserve">Codify the Electronics Engineer’s process for navigating German standards into a client-facing guide—reducing sales cycle friction by an estimated 25%.</w:t>
      </w:r>
    </w:p>
    <w:p>
      <w:pPr>
        <w:numPr>
          <w:ilvl w:val="0"/>
          <w:numId w:val="1004"/>
        </w:numPr>
        <w:pStyle w:val="Compact"/>
      </w:pPr>
      <w:r>
        <w:rPr>
          <w:bCs/>
          <w:b/>
        </w:rPr>
        <w:t xml:space="preserve">Leverage Berlin’s Startup Ecosystem:</w:t>
      </w:r>
      <w:r>
        <w:t xml:space="preserve"> </w:t>
      </w:r>
      <w:r>
        <w:t xml:space="preserve">Launch a co-innovation fund with Berlin-based accelerators (e.g., Rocket Internet) to fund R&amp;D projects, securing early access to emerging tech trends.</w:t>
      </w:r>
    </w:p>
    <w:bookmarkEnd w:id="25"/>
    <w:bookmarkStart w:id="26" w:name="conclusion"/>
    <w:p>
      <w:pPr>
        <w:pStyle w:val="Heading2"/>
      </w:pPr>
      <w:r>
        <w:t xml:space="preserve">Conclusion</w:t>
      </w:r>
    </w:p>
    <w:p>
      <w:pPr>
        <w:pStyle w:val="FirstParagraph"/>
      </w:pPr>
      <w:r>
        <w:t xml:space="preserve">The Q3 2024 Sales Report unequivocally demonstrates that the</w:t>
      </w:r>
      <w:r>
        <w:t xml:space="preserve"> </w:t>
      </w:r>
      <w:r>
        <w:rPr>
          <w:bCs/>
          <w:b/>
        </w:rPr>
        <w:t xml:space="preserve">Electronics Engineer</w:t>
      </w:r>
      <w:r>
        <w:t xml:space="preserve"> </w:t>
      </w:r>
      <w:r>
        <w:t xml:space="preserve">is the cornerstone of our growth strategy in</w:t>
      </w:r>
      <w:r>
        <w:t xml:space="preserve"> </w:t>
      </w:r>
      <w:r>
        <w:rPr>
          <w:bCs/>
          <w:b/>
        </w:rPr>
        <w:t xml:space="preserve">Germany Berlin</w:t>
      </w:r>
      <w:r>
        <w:t xml:space="preserve">. By embedding engineering expertise directly into sales motions, we’ve not only met but exceeded revenue targets while building defensible market share in one of Europe’s most sophisticated electronics markets. As Berlin accelerates its transition to sustainable Industry 4.0 solutions, our investment in specialized Electronics Engineering talent will be paramount to capturing the next wave of opportunities.</w:t>
      </w:r>
    </w:p>
    <w:p>
      <w:pPr>
        <w:pStyle w:val="BodyText"/>
      </w:pPr>
      <w:r>
        <w:t xml:space="preserve">"In Germany, engineering isn’t a department—it’s the sales engine. Our Electronics Engineer doesn’t just design products; they engineer trust, one solution at a time." — Sarah Müller, Head of Sales (Europe), Berlin Office</w:t>
      </w:r>
    </w:p>
    <w:p>
      <w:pPr>
        <w:pStyle w:val="BodyText"/>
      </w:pPr>
      <w:r>
        <w:t xml:space="preserve">This report is confidential and intended solely for internal use by the Global Engineering Division. All data sourced from internal CRM, BITKOM market surveys, and Berlin Chamber of Commerce reports.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Electronics Engineer Performance in Germany Berlin Market</dc:title>
  <dc:creator/>
  <cp:keywords/>
  <dcterms:created xsi:type="dcterms:W3CDTF">2026-03-15T19:43:02Z</dcterms:created>
  <dcterms:modified xsi:type="dcterms:W3CDTF">2026-03-15T19:43:02Z</dcterms:modified>
</cp:coreProperties>
</file>

<file path=docProps/custom.xml><?xml version="1.0" encoding="utf-8"?>
<Properties xmlns="http://schemas.openxmlformats.org/officeDocument/2006/custom-properties" xmlns:vt="http://schemas.openxmlformats.org/officeDocument/2006/docPropsVTypes"/>
</file>