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e9b880c4ea44f9dc5c47ea7bf92ea357f3d35c5"/>
    <w:p>
      <w:pPr>
        <w:pStyle w:val="Heading1"/>
      </w:pPr>
      <w:r>
        <w:t xml:space="preserve">Q3 2024 Sales Report: Strategic Impact of Electronics Engineering Expertise in Israel Tel Aviv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NexusTech Solutions Global Sales Strategy Team</w:t>
      </w:r>
    </w:p>
    <w:bookmarkStart w:id="20" w:name="i.-executive-summary"/>
    <w:p>
      <w:pPr>
        <w:pStyle w:val="Heading2"/>
      </w:pPr>
      <w:r>
        <w:t xml:space="preserve">I. Executive Summary</w:t>
      </w:r>
    </w:p>
    <w:p>
      <w:pPr>
        <w:pStyle w:val="FirstParagraph"/>
      </w:pPr>
      <w:r>
        <w:t xml:space="preserve">This quarterly sales report details the exceptional performance of our Electronics Engineer team within the Israel Tel Aviv market, a critical hub for global technology innovation. The strategic integration of specialized electronics engineering expertise directly contributed to a 34% year-over-year revenue growth in the region, exceeding target by 18%. This success is intrinsically linked to our ability to deliver cutting-edge solutions addressing the unique demands of Israel's advanced tech ecosystem. As Tel Aviv continues to solidify its position as "The Startup Nation's" primary innovation engine, our Electronics Engineer professionals have become pivotal assets in closing high-value enterprise contracts and fostering long-term client relationships.</w:t>
      </w:r>
    </w:p>
    <w:bookmarkEnd w:id="20"/>
    <w:bookmarkStart w:id="21" w:name="Xe6ee42e536413643183d88d01920d84e7ba4ab6"/>
    <w:p>
      <w:pPr>
        <w:pStyle w:val="Heading2"/>
      </w:pPr>
      <w:r>
        <w:t xml:space="preserve">II. Market Context: Israel Tel Aviv as a Strategic Growth Engine</w:t>
      </w:r>
    </w:p>
    <w:p>
      <w:pPr>
        <w:pStyle w:val="FirstParagraph"/>
      </w:pPr>
      <w:r>
        <w:t xml:space="preserve">Israel Tel Aviv represents more than just a geographic location; it is the epicenter of a $30B+ technology sector driving global innovation. Home to over 1,000 tech startups annually and hosting major R&amp;D centers for Intel, Mobileye, Check Point Software, and dozens of international corporations (including numerous US-based Fortune 500 firms), the Tel Aviv market demands specialized technical sales expertise. Our Q3 focus on deploying a dedicated Electronics Engineer within the sales team structure proved decisive. Unlike generic sales representatives, our Electronics Engineer possesses deep technical fluency to engage CTOs, R&amp;D leads, and engineering managers in Tel Aviv's competitive environment – translating complex hardware capabilities into tangible business value for clients.</w:t>
      </w:r>
    </w:p>
    <w:bookmarkEnd w:id="21"/>
    <w:bookmarkStart w:id="22" w:name="Xd9cab30174586ef0f91cdaf16d5f3592daf4a6e"/>
    <w:p>
      <w:pPr>
        <w:pStyle w:val="Heading2"/>
      </w:pPr>
      <w:r>
        <w:t xml:space="preserve">III. The Critical Role of the Electronics Engineer in Sales Success</w:t>
      </w:r>
    </w:p>
    <w:p>
      <w:pPr>
        <w:pStyle w:val="FirstParagraph"/>
      </w:pPr>
      <w:r>
        <w:t xml:space="preserve">The integration of a full-time Electronics Engineer into our sales process was the cornerstone of Q3's success. This role is not merely technical support; it is a strategic sales enablement function. Key contributions include:</w:t>
      </w:r>
    </w:p>
    <w:p>
      <w:pPr>
        <w:numPr>
          <w:ilvl w:val="0"/>
          <w:numId w:val="1001"/>
        </w:numPr>
        <w:pStyle w:val="Compact"/>
      </w:pPr>
      <w:r>
        <w:rPr>
          <w:bCs/>
          <w:b/>
        </w:rPr>
        <w:t xml:space="preserve">Technical Consultation &amp; Solution Design:</w:t>
      </w:r>
      <w:r>
        <w:t xml:space="preserve"> </w:t>
      </w:r>
      <w:r>
        <w:t xml:space="preserve">Our Electronics Engineer provided on-the-ground, real-time engineering consultation to Tel Aviv-based clients like "Aether Dynamics" (a leading AI hardware startup in the Neve Tzedek district) and "Veridian IoT Solutions" (based in the Rambam Innovation Hub), enabling rapid prototyping and tailored system integration. This directly addressed a critical pain point identified in 87% of our Q2 client feedback.</w:t>
      </w:r>
    </w:p>
    <w:p>
      <w:pPr>
        <w:numPr>
          <w:ilvl w:val="0"/>
          <w:numId w:val="1001"/>
        </w:numPr>
        <w:pStyle w:val="Compact"/>
      </w:pPr>
      <w:r>
        <w:rPr>
          <w:bCs/>
          <w:b/>
        </w:rPr>
        <w:t xml:space="preserve">Competitive Differentiation:</w:t>
      </w:r>
      <w:r>
        <w:t xml:space="preserve"> </w:t>
      </w:r>
      <w:r>
        <w:t xml:space="preserve">During proposals for the Tel Aviv municipality's smart infrastructure project, our Electronics Engineer's ability to analyze competitor PCB designs and propose superior thermal management solutions (based on Israel-specific environmental data) was instrumental in securing the $1.2M contract – a deal previously considered unattainable against established local vendors.</w:t>
      </w:r>
    </w:p>
    <w:p>
      <w:pPr>
        <w:numPr>
          <w:ilvl w:val="0"/>
          <w:numId w:val="1001"/>
        </w:numPr>
        <w:pStyle w:val="Compact"/>
      </w:pPr>
      <w:r>
        <w:rPr>
          <w:bCs/>
          <w:b/>
        </w:rPr>
        <w:t xml:space="preserve">Trust Building &amp; Long-Term Value:</w:t>
      </w:r>
      <w:r>
        <w:t xml:space="preserve"> </w:t>
      </w:r>
      <w:r>
        <w:t xml:space="preserve">The Electronics Engineer's presence at client site visits in Tel Aviv (including key engagements at the "Silicon Wadi" cluster and Shuk HaCarmel business park) significantly accelerated deal cycles by 35%. Technical credibility fostered by this role led to a 62% increase in repeat business from existing Tel Aviv clients.</w:t>
      </w:r>
    </w:p>
    <w:bookmarkEnd w:id="22"/>
    <w:bookmarkStart w:id="23" w:name="Xeab792df8aad5c06c700b478c516cc4da43dd02"/>
    <w:p>
      <w:pPr>
        <w:pStyle w:val="Heading2"/>
      </w:pPr>
      <w:r>
        <w:t xml:space="preserve">IV. Quantitative Sales Performance: Israel Tel Aviv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Market Segment</w:t>
            </w:r>
          </w:p>
        </w:tc>
        <w:tc>
          <w:tcPr/>
          <w:p>
            <w:pPr>
              <w:pStyle w:val="Compact"/>
              <w:jc w:val="left"/>
            </w:pPr>
            <w:r>
              <w:t xml:space="preserve">Q3 2023 Revenue (ILS)</w:t>
            </w:r>
          </w:p>
        </w:tc>
        <w:tc>
          <w:tcPr/>
          <w:p>
            <w:pPr>
              <w:pStyle w:val="Compact"/>
              <w:jc w:val="left"/>
            </w:pPr>
            <w:r>
              <w:t xml:space="preserve">Q3 2024 Revenue (ILS)</w:t>
            </w:r>
          </w:p>
        </w:tc>
        <w:tc>
          <w:tcPr/>
          <w:p>
            <w:pPr>
              <w:pStyle w:val="Compact"/>
              <w:jc w:val="left"/>
            </w:pPr>
            <w:r>
              <w:t xml:space="preserve">% Growth</w:t>
            </w:r>
          </w:p>
        </w:tc>
        <w:tc>
          <w:tcPr/>
          <w:p>
            <w:pPr>
              <w:pStyle w:val="Compact"/>
              <w:jc w:val="left"/>
            </w:pPr>
            <w:r>
              <w:t xml:space="preserve">% of Total Israel Sales</w:t>
            </w:r>
          </w:p>
        </w:tc>
      </w:tr>
      <w:tr>
        <w:tc>
          <w:tcPr/>
          <w:p>
            <w:pPr>
              <w:pStyle w:val="Compact"/>
              <w:jc w:val="left"/>
            </w:pPr>
            <w:r>
              <w:t xml:space="preserve">Tel Aviv Enterprise Clients (5+ employees)</w:t>
            </w:r>
          </w:p>
        </w:tc>
        <w:tc>
          <w:tcPr/>
          <w:p>
            <w:pPr>
              <w:pStyle w:val="Compact"/>
              <w:jc w:val="left"/>
            </w:pPr>
            <w:r>
              <w:t xml:space="preserve">1,850,000</w:t>
            </w:r>
          </w:p>
        </w:tc>
        <w:tc>
          <w:tcPr/>
          <w:p>
            <w:pPr>
              <w:pStyle w:val="Compact"/>
              <w:jc w:val="left"/>
            </w:pPr>
            <w:r>
              <w:t xml:space="preserve">2,475,000</w:t>
            </w:r>
          </w:p>
        </w:tc>
        <w:tc>
          <w:tcPr/>
          <w:p>
            <w:pPr>
              <w:pStyle w:val="Compact"/>
              <w:jc w:val="left"/>
            </w:pPr>
            <w:r>
              <w:t xml:space="preserve">+33.8%</w:t>
            </w:r>
          </w:p>
        </w:tc>
        <w:tc>
          <w:tcPr/>
          <w:p>
            <w:pPr>
              <w:pStyle w:val="Compact"/>
              <w:jc w:val="left"/>
            </w:pPr>
            <w:r>
              <w:t xml:space="preserve">68%</w:t>
            </w:r>
          </w:p>
        </w:tc>
      </w:tr>
      <w:tr>
        <w:tc>
          <w:tcPr/>
          <w:p>
            <w:pPr>
              <w:pStyle w:val="Compact"/>
              <w:jc w:val="left"/>
            </w:pPr>
            <w:r>
              <w:t xml:space="preserve">Tel Aviv Startup Accelerator Clients</w:t>
            </w:r>
          </w:p>
        </w:tc>
        <w:tc>
          <w:tcPr/>
          <w:p>
            <w:pPr>
              <w:pStyle w:val="Compact"/>
              <w:jc w:val="left"/>
            </w:pPr>
            <w:r>
              <w:t xml:space="preserve">425,000</w:t>
            </w:r>
          </w:p>
        </w:tc>
        <w:tc>
          <w:tcPr/>
          <w:p>
            <w:pPr>
              <w:pStyle w:val="Compact"/>
              <w:jc w:val="left"/>
            </w:pPr>
            <w:r>
              <w:t xml:space="preserve">692,500</w:t>
            </w:r>
          </w:p>
        </w:tc>
        <w:tc>
          <w:tcPr/>
          <w:p>
            <w:pPr>
              <w:pStyle w:val="Compact"/>
              <w:jc w:val="left"/>
            </w:pPr>
            <w:r>
              <w:t xml:space="preserve">+63.1%</w:t>
            </w:r>
          </w:p>
        </w:tc>
        <w:tc>
          <w:tcPr/>
          <w:p>
            <w:pPr>
              <w:pStyle w:val="Compact"/>
              <w:jc w:val="left"/>
            </w:pPr>
            <w:r>
              <w:t xml:space="preserve">19%</w:t>
            </w:r>
          </w:p>
        </w:tc>
      </w:tr>
      <w:tr>
        <w:tc>
          <w:tcPr/>
          <w:p>
            <w:pPr>
              <w:pStyle w:val="Compact"/>
              <w:jc w:val="left"/>
            </w:pPr>
            <w:r>
              <w:t xml:space="preserve">Tel Aviv Government/Institutional (e.g., MDA, Universities)</w:t>
            </w:r>
          </w:p>
        </w:tc>
        <w:tc>
          <w:tcPr/>
          <w:p>
            <w:pPr>
              <w:pStyle w:val="Compact"/>
              <w:jc w:val="left"/>
            </w:pPr>
            <w:r>
              <w:t xml:space="preserve">287,500</w:t>
            </w:r>
          </w:p>
        </w:tc>
        <w:tc>
          <w:tcPr/>
          <w:p>
            <w:pPr>
              <w:pStyle w:val="Compact"/>
              <w:jc w:val="left"/>
            </w:pPr>
            <w:r>
              <w:t xml:space="preserve">438,750</w:t>
            </w:r>
          </w:p>
        </w:tc>
        <w:tc>
          <w:tcPr/>
          <w:p>
            <w:pPr>
              <w:pStyle w:val="Compact"/>
              <w:jc w:val="left"/>
            </w:pPr>
            <w:r>
              <w:t xml:space="preserve">+52.6%</w:t>
            </w:r>
          </w:p>
        </w:tc>
        <w:tc>
          <w:tcPr/>
          <w:p>
            <w:pPr>
              <w:pStyle w:val="Compact"/>
              <w:jc w:val="left"/>
            </w:pPr>
            <w:r>
              <w:t xml:space="preserve">12%</w:t>
            </w:r>
          </w:p>
        </w:tc>
      </w:tr>
      <w:tr>
        <w:tc>
          <w:tcPr/>
          <w:p>
            <w:pPr>
              <w:pStyle w:val="Compact"/>
              <w:jc w:val="left"/>
            </w:pPr>
            <w:r>
              <w:t xml:space="preserve">Total Tel Aviv Market</w:t>
            </w:r>
          </w:p>
        </w:tc>
        <w:tc>
          <w:tcPr>
            <w:gridSpan w:val="2"/>
          </w:tcPr>
          <w:p>
            <w:pPr>
              <w:pStyle w:val="Compact"/>
              <w:jc w:val="left"/>
            </w:pPr>
            <w:r>
              <w:t xml:space="preserve">3,769,500</w:t>
            </w:r>
          </w:p>
        </w:tc>
        <w:tc>
          <w:tcPr/>
          <w:p>
            <w:pPr>
              <w:pStyle w:val="Compact"/>
              <w:jc w:val="left"/>
            </w:pPr>
            <w:r>
              <w:t xml:space="preserve">+34.1%</w:t>
            </w:r>
          </w:p>
        </w:tc>
        <w:tc>
          <w:tcPr/>
          <w:p>
            <w:pPr>
              <w:pStyle w:val="Compact"/>
              <w:jc w:val="left"/>
            </w:pPr>
            <w:r>
              <w:t xml:space="preserve">100%</w:t>
            </w:r>
          </w:p>
        </w:tc>
      </w:tr>
    </w:tbl>
    <w:p>
      <w:pPr>
        <w:pStyle w:val="BodyText"/>
      </w:pPr>
      <w:r>
        <w:t xml:space="preserve">Key Insight: The 34.1% growth in the Tel Aviv market was directly attributable to the Electronics Engineer's technical sales enablement, accounting for 92% of our total Israel market growth. Without this specialized engineering resource embedded within the sales team, we projected only a 15-18% increase based on historical trends.</w:t>
      </w:r>
    </w:p>
    <w:bookmarkEnd w:id="23"/>
    <w:bookmarkStart w:id="24" w:name="Xc0c92f8b67d925bfd0dc98b7e877ffd7045cf63"/>
    <w:p>
      <w:pPr>
        <w:pStyle w:val="Heading2"/>
      </w:pPr>
      <w:r>
        <w:t xml:space="preserve">V. Client Success Story: Aether Dynamics (Tel Aviv)</w:t>
      </w:r>
    </w:p>
    <w:p>
      <w:pPr>
        <w:pStyle w:val="FirstParagraph"/>
      </w:pPr>
      <w:r>
        <w:t xml:space="preserve">A critical Q3 win exemplifies the Electronics Engineer's impact. Aether Dynamics, an AI chip startup in Tel Aviv's "Silicon Wadi" zone, was struggling with signal integrity issues in their next-gen edge AI processors during pilot testing at the Technion Innovation Campus. Our standard sales team engaged but lacked depth to address the core technical challenge. The assignment of our Electronics Engineer resulted in:</w:t>
      </w:r>
    </w:p>
    <w:p>
      <w:pPr>
        <w:numPr>
          <w:ilvl w:val="0"/>
          <w:numId w:val="1002"/>
        </w:numPr>
        <w:pStyle w:val="Compact"/>
      </w:pPr>
      <w:r>
        <w:t xml:space="preserve">Diagnosis and root-cause analysis within 48 hours of initial contact.</w:t>
      </w:r>
    </w:p>
    <w:p>
      <w:pPr>
        <w:numPr>
          <w:ilvl w:val="0"/>
          <w:numId w:val="1002"/>
        </w:numPr>
        <w:pStyle w:val="Compact"/>
      </w:pPr>
      <w:r>
        <w:t xml:space="preserve">Collaboration with Aether's engineering lead to redesign a critical signal path using our high-frequency components.</w:t>
      </w:r>
    </w:p>
    <w:p>
      <w:pPr>
        <w:numPr>
          <w:ilvl w:val="0"/>
          <w:numId w:val="1002"/>
        </w:numPr>
        <w:pStyle w:val="Compact"/>
      </w:pPr>
      <w:r>
        <w:t xml:space="preserve">Acceleration of their pilot phase by 6 weeks, saving an estimated $250K in R&amp;D costs.</w:t>
      </w:r>
    </w:p>
    <w:p>
      <w:pPr>
        <w:numPr>
          <w:ilvl w:val="0"/>
          <w:numId w:val="1002"/>
        </w:numPr>
        <w:pStyle w:val="Compact"/>
      </w:pPr>
      <w:r>
        <w:t xml:space="preserve">Securing a multi-year contract for $850K worth of specialized RF components and engineering support services.</w:t>
      </w:r>
    </w:p>
    <w:p>
      <w:pPr>
        <w:pStyle w:val="FirstParagraph"/>
      </w:pPr>
      <w:r>
        <w:t xml:space="preserve">This deal was closed due to the Electronics Engineer's ability to speak the language of Aether's engineers – a capability impossible for generic sales personnel. It also triggered additional referrals within Tel Aviv's tight-knit tech community.</w:t>
      </w:r>
    </w:p>
    <w:bookmarkEnd w:id="24"/>
    <w:bookmarkStart w:id="25" w:name="X75c011f9cfe34105a7dea5c8e10fb8c676ab0ed"/>
    <w:p>
      <w:pPr>
        <w:pStyle w:val="Heading2"/>
      </w:pPr>
      <w:r>
        <w:t xml:space="preserve">VI. Future Outlook &amp; Strategic Recommendations for Israel Tel Aviv</w:t>
      </w:r>
    </w:p>
    <w:p>
      <w:pPr>
        <w:pStyle w:val="FirstParagraph"/>
      </w:pPr>
      <w:r>
        <w:t xml:space="preserve">The success in Q3 unequivocally validates our investment in embedding Electronics Engineers within our regional sales teams, particularly for the high-growth Israel Tel Aviv market. Based on this momentum:</w:t>
      </w:r>
    </w:p>
    <w:p>
      <w:pPr>
        <w:numPr>
          <w:ilvl w:val="0"/>
          <w:numId w:val="1003"/>
        </w:numPr>
        <w:pStyle w:val="Compact"/>
      </w:pPr>
      <w:r>
        <w:rPr>
          <w:bCs/>
          <w:b/>
        </w:rPr>
        <w:t xml:space="preserve">Expand Engineering Sales Integration:</w:t>
      </w:r>
      <w:r>
        <w:t xml:space="preserve"> </w:t>
      </w:r>
      <w:r>
        <w:t xml:space="preserve">Allocate two additional Electronics Engineers to the Israel Tel Aviv territory by Q1 2025, focusing on the rapidly growing MedTech and Cybersecurity hardware sectors centered in Tel Aviv.</w:t>
      </w:r>
    </w:p>
    <w:p>
      <w:pPr>
        <w:numPr>
          <w:ilvl w:val="0"/>
          <w:numId w:val="1003"/>
        </w:numPr>
        <w:pStyle w:val="Compact"/>
      </w:pPr>
      <w:r>
        <w:rPr>
          <w:bCs/>
          <w:b/>
        </w:rPr>
        <w:t xml:space="preserve">Leverage Local Talent Pipeline:</w:t>
      </w:r>
      <w:r>
        <w:t xml:space="preserve"> </w:t>
      </w:r>
      <w:r>
        <w:t xml:space="preserve">Partner with Tel Aviv University's Faculty of Engineering and the Israeli Innovation Authority to create a dedicated talent pipeline for Electronics Engineers specializing in sales roles. This addresses Israel's critical tech skills gap while ensuring cultural and technical alignment.</w:t>
      </w:r>
    </w:p>
    <w:p>
      <w:pPr>
        <w:numPr>
          <w:ilvl w:val="0"/>
          <w:numId w:val="1003"/>
        </w:numPr>
        <w:pStyle w:val="Compact"/>
      </w:pPr>
      <w:r>
        <w:rPr>
          <w:bCs/>
          <w:b/>
        </w:rPr>
        <w:t xml:space="preserve">Develop Israel-Specific Technical Marketing:</w:t>
      </w:r>
      <w:r>
        <w:t xml:space="preserve"> </w:t>
      </w:r>
      <w:r>
        <w:t xml:space="preserve">Co-create case studies, whitepapers, and webinars *with* our Tel Aviv-based Electronics Engineer on challenges specific to the Israeli market (e.g., "Thermal Management Solutions for High-Density Tel Aviv Data Centers" or "RF Design Considerations in Israel's Unique Spectrum Environment").</w:t>
      </w:r>
    </w:p>
    <w:p>
      <w:pPr>
        <w:numPr>
          <w:ilvl w:val="0"/>
          <w:numId w:val="1003"/>
        </w:numPr>
        <w:pStyle w:val="Compact"/>
      </w:pPr>
      <w:r>
        <w:rPr>
          <w:bCs/>
          <w:b/>
        </w:rPr>
        <w:t xml:space="preserve">Enhance Cross-Functional Synergy:</w:t>
      </w:r>
      <w:r>
        <w:t xml:space="preserve"> </w:t>
      </w:r>
      <w:r>
        <w:t xml:space="preserve">Formalize quarterly technical sales alignment workshops between our Electronics Engineers, Product R&amp;D (based in Israel), and the global Sales Leadership team, ensuring Tel Aviv market needs directly shape product development priorities.</w:t>
      </w:r>
    </w:p>
    <w:bookmarkEnd w:id="25"/>
    <w:bookmarkStart w:id="26" w:name="vii.-conclusion"/>
    <w:p>
      <w:pPr>
        <w:pStyle w:val="Heading2"/>
      </w:pPr>
      <w:r>
        <w:t xml:space="preserve">VII. Conclusion</w:t>
      </w:r>
    </w:p>
    <w:p>
      <w:pPr>
        <w:pStyle w:val="FirstParagraph"/>
      </w:pPr>
      <w:r>
        <w:t xml:space="preserve">The Q3 2024 Sales Report for Israel Tel Aviv stands as a testament to the transformative power of specialized technical expertise within the sales function. Our Electronics Engineer team has moved beyond a support role to become the *primary driver* of our market leadership in Israel's most dynamic city. The consistent, measurable results – 34% revenue growth directly attributed to this model, deeper client relationships, and high-value contract wins previously deemed out of reach – underscore that integrating deep electronics engineering knowledge with sales strategy is not optional for success in the Tel Aviv technology landscape; it is essential.</w:t>
      </w:r>
    </w:p>
    <w:p>
      <w:pPr>
        <w:pStyle w:val="BodyText"/>
      </w:pPr>
      <w:r>
        <w:t xml:space="preserve">As Israel Tel Aviv continues its trajectory as a global innovation powerhouse, NexusTech Solutions' commitment to deploying skilled Electronics Engineers directly within the sales team ensures we are uniquely positioned to capture market share, deliver unparalleled client value, and solidify our leadership in this critical region. The future of high-growth technology sales in Israel Tel Aviv is undeniably engineered.</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Israel Tel Aviv</dc:title>
  <dc:creator/>
  <dc:language>en</dc:language>
  <cp:keywords/>
  <dcterms:created xsi:type="dcterms:W3CDTF">2026-07-20T06:17:53Z</dcterms:created>
  <dcterms:modified xsi:type="dcterms:W3CDTF">2026-07-20T06:17:53Z</dcterms:modified>
</cp:coreProperties>
</file>

<file path=docProps/custom.xml><?xml version="1.0" encoding="utf-8"?>
<Properties xmlns="http://schemas.openxmlformats.org/officeDocument/2006/custom-properties" xmlns:vt="http://schemas.openxmlformats.org/officeDocument/2006/docPropsVTypes"/>
</file>