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c49d8f312cd25b715f7b218dd106105dd951aef"/>
    <w:p>
      <w:pPr>
        <w:pStyle w:val="Heading1"/>
      </w:pPr>
      <w:r>
        <w:t xml:space="preserve">Sales Report: Electronics Engineer Performance in Japan Osaka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Japan Osaka</w:t>
      </w:r>
    </w:p>
    <w:bookmarkStart w:id="20" w:name="i.-executive-summary"/>
    <w:p>
      <w:pPr>
        <w:pStyle w:val="Heading2"/>
      </w:pPr>
      <w:r>
        <w:t xml:space="preserve">I. Executive Summary</w:t>
      </w:r>
    </w:p>
    <w:p>
      <w:pPr>
        <w:pStyle w:val="FirstParagraph"/>
      </w:pPr>
      <w:r>
        <w:t xml:space="preserve">This comprehensive Sales Report details the pivotal role of Electronics Engineers in driving revenue growth within Osaka’s dynamic electronics ecosystem. As a global hub for semiconductor manufacturing, IoT innovation, and industrial automation, Osaka represents a strategic priority for our company’s expansion in Japan. The report demonstrates that Electronics Engineers directly contributed to a 22% YoY sales uplift across key accounts in Q3 2023, with Osaka emerging as the second-highest performing region after Tokyo. This success underscores the critical intersection of technical expertise and sales execution within Japan’s competitive electronics landscape.</w:t>
      </w:r>
    </w:p>
    <w:bookmarkEnd w:id="20"/>
    <w:bookmarkStart w:id="21" w:name="X8750bf2b26c87d4c85b41f2a61f12aa0c5b5a69"/>
    <w:p>
      <w:pPr>
        <w:pStyle w:val="Heading2"/>
      </w:pPr>
      <w:r>
        <w:t xml:space="preserve">II. Market Context: Osaka's Electronics Industry Landscape</w:t>
      </w:r>
    </w:p>
    <w:p>
      <w:pPr>
        <w:pStyle w:val="FirstParagraph"/>
      </w:pPr>
      <w:r>
        <w:t xml:space="preserve">Osaka remains Japan’s second-largest electronics manufacturing cluster, home to 34% of the nation’s semiconductor equipment manufacturers and a concentration of robotics startups in the Namba District. With Panasonic’s headquarters and Sharp’s R&amp;D facilities anchoring the region, demand for cutting-edge embedded systems has surged by 18% in 2023. Our Sales Report identifies that Osaka-based clients prioritize engineers who understand both technical specifications (e.g., Japan Industrial Standards JIS) and cultural nuances of Japanese procurement—particularly during the critical "nemawashi" consensus-building phase. This context makes Electronics Engineers indispensable for converting leads into contracts, especially with Tier-1 automotive and medical device manufacturers operating in Osaka’s industrial parks.</w:t>
      </w:r>
    </w:p>
    <w:bookmarkEnd w:id="21"/>
    <w:bookmarkStart w:id="22" w:name="X831892fbbf2c2576b13173f100c1c97422c14fb"/>
    <w:p>
      <w:pPr>
        <w:pStyle w:val="Heading2"/>
      </w:pPr>
      <w:r>
        <w:t xml:space="preserve">III. Electronics Engineers as Revenue Catalysts</w:t>
      </w:r>
    </w:p>
    <w:p>
      <w:pPr>
        <w:pStyle w:val="FirstParagraph"/>
      </w:pPr>
      <w:r>
        <w:t xml:space="preserve">The data reveals that our Electronics Engineering team in Osaka achieved a 37% higher conversion rate on complex B2B deals compared to standard sales reps. This advantage stems from their ability to bridge technical and commercial gaps:</w:t>
      </w:r>
    </w:p>
    <w:p>
      <w:pPr>
        <w:numPr>
          <w:ilvl w:val="0"/>
          <w:numId w:val="1001"/>
        </w:numPr>
        <w:pStyle w:val="Compact"/>
      </w:pPr>
      <w:r>
        <w:rPr>
          <w:bCs/>
          <w:b/>
        </w:rPr>
        <w:t xml:space="preserve">Technical Consultation:</w:t>
      </w:r>
      <w:r>
        <w:t xml:space="preserve"> </w:t>
      </w:r>
      <w:r>
        <w:t xml:space="preserve">Engineers conducted 142 client site diagnostics (vs. industry avg. 68), identifying integration opportunities for our sensor modules in Osaka-based robotics firms like FANUC.</w:t>
      </w:r>
    </w:p>
    <w:p>
      <w:pPr>
        <w:numPr>
          <w:ilvl w:val="0"/>
          <w:numId w:val="1001"/>
        </w:numPr>
        <w:pStyle w:val="Compact"/>
      </w:pPr>
      <w:r>
        <w:rPr>
          <w:bCs/>
          <w:b/>
        </w:rPr>
        <w:t xml:space="preserve">Certification Navigation:</w:t>
      </w:r>
      <w:r>
        <w:t xml:space="preserve"> </w:t>
      </w:r>
      <w:r>
        <w:t xml:space="preserve">They expedited compliance with Japanese regulatory frameworks (e.g., PSE mark certification), reducing sales cycle time by 32 days per account.</w:t>
      </w:r>
    </w:p>
    <w:p>
      <w:pPr>
        <w:numPr>
          <w:ilvl w:val="0"/>
          <w:numId w:val="1001"/>
        </w:numPr>
        <w:pStyle w:val="Compact"/>
      </w:pPr>
      <w:r>
        <w:rPr>
          <w:bCs/>
          <w:b/>
        </w:rPr>
        <w:t xml:space="preserve">Solution Design:</w:t>
      </w:r>
      <w:r>
        <w:t xml:space="preserve"> </w:t>
      </w:r>
      <w:r>
        <w:t xml:space="preserve">By co-developing custom firmware for an Osaka electronics OEM’s smart factory project, the Engineering team secured a $1.8M contract—directly linking technical capability to revenue generation.</w:t>
      </w:r>
    </w:p>
    <w:p>
      <w:pPr>
        <w:pStyle w:val="FirstParagraph"/>
      </w:pPr>
      <w:r>
        <w:t xml:space="preserve">Notably, 89% of sales in Osaka’s industrial automation segment were won through Engineer-led demonstrations. Clients explicitly cited "technical credibility" as the decisive factor in vendor selection, highlighting how Electronics Engineers transform product features into competitive advantages.</w:t>
      </w:r>
    </w:p>
    <w:bookmarkEnd w:id="22"/>
    <w:bookmarkStart w:id="23" w:name="iv.-key-performance-metrics-japan-osaka"/>
    <w:p>
      <w:pPr>
        <w:pStyle w:val="Heading2"/>
      </w:pPr>
      <w:r>
        <w:t xml:space="preserve">IV. Key Performance Metrics: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(Osaka)</w:t>
            </w:r>
          </w:p>
        </w:tc>
        <w:tc>
          <w:tcPr/>
          <w:p>
            <w:pPr>
              <w:pStyle w:val="Compact"/>
              <w:jc w:val="left"/>
            </w:pPr>
            <w:r>
              <w:t xml:space="preserve">Industry Avg.</w:t>
            </w:r>
          </w:p>
        </w:tc>
        <w:tc>
          <w:tcPr/>
          <w:p>
            <w:pPr>
              <w:pStyle w:val="Compact"/>
              <w:jc w:val="left"/>
            </w:pPr>
            <w:r>
              <w:t xml:space="preserve">YoY Δ</w:t>
            </w:r>
          </w:p>
        </w:tc>
      </w:tr>
      <w:tr>
        <w:tc>
          <w:tcPr/>
          <w:p>
            <w:pPr>
              <w:pStyle w:val="Compact"/>
              <w:jc w:val="left"/>
            </w:pPr>
            <w:r>
              <w:t xml:space="preserve">Sales Cycle Length</w:t>
            </w:r>
          </w:p>
        </w:tc>
        <w:tc>
          <w:tcPr/>
          <w:p>
            <w:pPr>
              <w:pStyle w:val="Compact"/>
              <w:jc w:val="left"/>
            </w:pPr>
            <w:r>
              <w:t xml:space="preserve">48 days</w:t>
            </w:r>
          </w:p>
        </w:tc>
        <w:tc>
          <w:tcPr/>
          <w:p>
            <w:pPr>
              <w:pStyle w:val="Compact"/>
              <w:jc w:val="left"/>
            </w:pPr>
            <w:r>
              <w:t xml:space="preserve">65 days</w:t>
            </w:r>
          </w:p>
        </w:tc>
        <w:tc>
          <w:tcPr/>
          <w:p>
            <w:pPr>
              <w:pStyle w:val="Compact"/>
              <w:jc w:val="left"/>
            </w:pPr>
            <w:r>
              <w:t xml:space="preserve">-26%</w:t>
            </w:r>
          </w:p>
        </w:tc>
      </w:tr>
      <w:tr>
        <w:tc>
          <w:tcPr/>
          <w:p>
            <w:pPr>
              <w:pStyle w:val="Compact"/>
              <w:jc w:val="left"/>
            </w:pPr>
            <w:r>
              <w:t xml:space="preserve">Average Deal Size</w:t>
            </w:r>
          </w:p>
        </w:tc>
        <w:tc>
          <w:tcPr/>
          <w:p>
            <w:pPr>
              <w:pStyle w:val="Compact"/>
              <w:jc w:val="left"/>
            </w:pPr>
            <w:r>
              <w:t xml:space="preserve">$432K</w:t>
            </w:r>
          </w:p>
        </w:tc>
        <w:tc>
          <w:tcPr/>
          <w:p>
            <w:pPr>
              <w:pStyle w:val="Compact"/>
              <w:jc w:val="left"/>
            </w:pPr>
            <w:r>
              <w:t xml:space="preserve">$317K</w:t>
            </w:r>
          </w:p>
        </w:tc>
        <w:tc>
          <w:tcPr/>
          <w:p>
            <w:pPr>
              <w:pStyle w:val="Compact"/>
              <w:jc w:val="left"/>
            </w:pPr>
            <w:r>
              <w:t xml:space="preserve">+36%</w:t>
            </w:r>
          </w:p>
        </w:tc>
      </w:tr>
      <w:tr>
        <w:tc>
          <w:tcPr/>
          <w:p>
            <w:pPr>
              <w:pStyle w:val="Compact"/>
              <w:jc w:val="left"/>
            </w:pPr>
            <w:r>
              <w:t xml:space="preserve">Client Retention Rate (12M)</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points</w:t>
            </w:r>
          </w:p>
        </w:tc>
      </w:tr>
    </w:tbl>
    <w:p>
      <w:pPr>
        <w:pStyle w:val="BodyText"/>
      </w:pPr>
      <w:r>
        <w:t xml:space="preserve">The metrics confirm that Electronics Engineers are not merely support staff but revenue drivers. Their presence reduced client onboarding friction by 41%, directly translating to repeat business—evident in the Osaka account portfolio where 6 of our top 10 clients were acquired through Engineer-led engagements.</w:t>
      </w:r>
    </w:p>
    <w:bookmarkEnd w:id="23"/>
    <w:bookmarkStart w:id="24" w:name="Xe2ac9e3b002a0c00ff3cb04a829797c3be4759a"/>
    <w:p>
      <w:pPr>
        <w:pStyle w:val="Heading2"/>
      </w:pPr>
      <w:r>
        <w:t xml:space="preserve">V. Cultural Integration: Why Osaka Demands Specialized Engineering Talent</w:t>
      </w:r>
    </w:p>
    <w:p>
      <w:pPr>
        <w:pStyle w:val="FirstParagraph"/>
      </w:pPr>
      <w:r>
        <w:t xml:space="preserve">Japan’s business culture necessitates deep contextual understanding. Our Sales Report notes that Osaka-based engineers who completed cultural immersion training (including "omotenashi" service protocols) achieved 3.1x more cross-selling opportunities than peers without localization knowledge. For example, a recent contract with an Osaka medical device manufacturer was secured after our Electronics Engineer recognized the client’s unspoken need for ISO 13485 alignment during a site visit—addressing a concern that sales reps had overlooked.</w:t>
      </w:r>
    </w:p>
    <w:p>
      <w:pPr>
        <w:pStyle w:val="BodyText"/>
      </w:pPr>
      <w:r>
        <w:t xml:space="preserve">Furthermore, Osaka’s preference for "gaman" (perseverance) in technical troubleshooting means Engineers spend 27% more time on post-sale support. This investment builds trust: 92% of Osaka clients reported "exceptional technical partnership" in our Q3 survey, directly correlating with a 51% increase in referral business.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two challenges require immediate attention:</w:t>
      </w:r>
    </w:p>
    <w:p>
      <w:pPr>
        <w:numPr>
          <w:ilvl w:val="0"/>
          <w:numId w:val="1002"/>
        </w:numPr>
        <w:pStyle w:val="Compact"/>
      </w:pPr>
      <w:r>
        <w:rPr>
          <w:bCs/>
          <w:b/>
        </w:rPr>
        <w:t xml:space="preserve">Linguistic Barriers:</w:t>
      </w:r>
      <w:r>
        <w:t xml:space="preserve"> </w:t>
      </w:r>
      <w:r>
        <w:t xml:space="preserve">43% of non-Japanese-speaking Engineers reported delays in client communication. *Recommendation: Implement mandatory JLPT N2 certification for all Osaka-based Engineering roles by Q1 2024.</w:t>
      </w:r>
    </w:p>
    <w:p>
      <w:pPr>
        <w:numPr>
          <w:ilvl w:val="0"/>
          <w:numId w:val="1002"/>
        </w:numPr>
        <w:pStyle w:val="Compact"/>
      </w:pPr>
      <w:r>
        <w:rPr>
          <w:bCs/>
          <w:b/>
        </w:rPr>
        <w:t xml:space="preserve">Certification Delays:</w:t>
      </w:r>
      <w:r>
        <w:t xml:space="preserve"> </w:t>
      </w:r>
      <w:r>
        <w:t xml:space="preserve">New product launches faced JIS compliance bottlenecks. *Recommendation: Partner with Osaka’s Electronics Industry Association (EIAJ) to streamline certification pathways.</w:t>
      </w:r>
    </w:p>
    <w:p>
      <w:pPr>
        <w:pStyle w:val="FirstParagraph"/>
      </w:pPr>
      <w:r>
        <w:t xml:space="preserve">Additionally, we propose establishing an "Osaka Innovation Lab" within our Osaka office—a dedicated space for Electronics Engineers to prototype solutions for local industry pain points like aging factory automation systems. This aligns with Osaka’s government initiative, "Osaka Smart City 2030," positioning us as a strategic partner rather than vendor.</w:t>
      </w:r>
    </w:p>
    <w:bookmarkEnd w:id="25"/>
    <w:bookmarkStart w:id="26" w:name="Xc60dd39a8c1513fb88c2c8a870e669c92c2cd52"/>
    <w:p>
      <w:pPr>
        <w:pStyle w:val="Heading2"/>
      </w:pPr>
      <w:r>
        <w:t xml:space="preserve">VII. Conclusion: The Future of Electronics Engineering in Japan Osaka</w:t>
      </w:r>
    </w:p>
    <w:p>
      <w:pPr>
        <w:pStyle w:val="FirstParagraph"/>
      </w:pPr>
      <w:r>
        <w:t xml:space="preserve">This Sales Report unequivocally validates that Electronics Engineers are the cornerstone of our growth strategy in Japan Osaka. As the region accelerates adoption of AI-driven manufacturing and 6G-enabled IoT, technical expertise will become even more critical. By embedding Engineers into sales teams—not as add-ons but as core decision-makers—we project a 30%+ revenue increase for Osaka in FY2024.</w:t>
      </w:r>
    </w:p>
    <w:p>
      <w:pPr>
        <w:pStyle w:val="BodyText"/>
      </w:pPr>
      <w:r>
        <w:t xml:space="preserve">For global leadership, the Osaka case study offers a blueprint: Invest in specialized engineering talent with cultural fluency, and you unlock Japan’s most promising market. The data doesn’t lie—where Electronics Engineers lead, sales follow. As we finalize our strategy for 2024, we recommend replicating this model across all Japanese regional hubs while doubling down on Osaka’s unique value proposition.</w:t>
      </w:r>
    </w:p>
    <w:p>
      <w:pPr>
        <w:pStyle w:val="BodyText"/>
      </w:pPr>
      <w:r>
        <w:rPr>
          <w:bCs/>
          <w:b/>
        </w:rPr>
        <w:t xml:space="preserve">Prepared By:</w:t>
      </w:r>
      <w:r>
        <w:t xml:space="preserve"> </w:t>
      </w:r>
      <w:r>
        <w:t xml:space="preserve">Global Sales Analytics Division</w:t>
      </w:r>
      <w:r>
        <w:br/>
      </w:r>
      <w:r>
        <w:rPr>
          <w:bCs/>
          <w:b/>
        </w:rPr>
        <w:t xml:space="preserve">Approved By:</w:t>
      </w:r>
      <w:r>
        <w:t xml:space="preserve"> </w:t>
      </w:r>
      <w:r>
        <w:t xml:space="preserve">Regional Director, Japan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Japan Osaka Market</dc:title>
  <dc:creator/>
  <dc:language>en</dc:language>
  <cp:keywords/>
  <dcterms:created xsi:type="dcterms:W3CDTF">2026-04-30T10:08:02Z</dcterms:created>
  <dcterms:modified xsi:type="dcterms:W3CDTF">2026-04-30T10:08:02Z</dcterms:modified>
</cp:coreProperties>
</file>

<file path=docProps/custom.xml><?xml version="1.0" encoding="utf-8"?>
<Properties xmlns="http://schemas.openxmlformats.org/officeDocument/2006/custom-properties" xmlns:vt="http://schemas.openxmlformats.org/officeDocument/2006/docPropsVTypes"/>
</file>