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Moscow,</w:t>
      </w:r>
      <w:r>
        <w:t xml:space="preserve"> </w:t>
      </w:r>
      <w:r>
        <w:t xml:space="preserve">Russia</w:t>
      </w:r>
      <w:r>
        <w:t xml:space="preserve"> </w:t>
      </w:r>
      <w:r>
        <w:t xml:space="preserve">Market</w:t>
      </w:r>
      <w:r>
        <w:t xml:space="preserve"> </w:t>
      </w:r>
      <w:r>
        <w:t xml:space="preserve">Performance</w:t>
      </w:r>
    </w:p>
    <w:bookmarkStart w:id="27" w:name="X44ca7fa4c55f285cc596584d73eba52a0da16d5"/>
    <w:p>
      <w:pPr>
        <w:pStyle w:val="Heading1"/>
      </w:pPr>
      <w:r>
        <w:t xml:space="preserve">Sales Report: Electronics Engineering Services in Moscow, Russia Market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services within the Moscow, Russia market during Q3 2023. Focusing on high-value engineering solutions tailored to Moscow's dynamic industrial and technological landscape, our team of certified Electronics Engineers delivered exceptional results despite challenging global supply chains and localized economic conditions. The report confirms a 18.7% year-over-year growth in service revenue, totaling $4.2 million USD equivalent, with Moscow serving as the strategic hub for 72% of all Russia-wide engagements.</w:t>
      </w:r>
    </w:p>
    <w:bookmarkEnd w:id="20"/>
    <w:bookmarkStart w:id="21" w:name="Xdcf41006a61249d73c5330c81edb001387991e6"/>
    <w:p>
      <w:pPr>
        <w:pStyle w:val="Heading2"/>
      </w:pPr>
      <w:r>
        <w:t xml:space="preserve">Market Context: Electronics Engineering Demand in Moscow</w:t>
      </w:r>
    </w:p>
    <w:p>
      <w:pPr>
        <w:pStyle w:val="FirstParagraph"/>
      </w:pPr>
      <w:r>
        <w:t xml:space="preserve">As Russia's economic and technological epicenter, Moscow drives 35% of the nation's electronics engineering services demand. Key growth catalysts include:</w:t>
      </w:r>
    </w:p>
    <w:p>
      <w:pPr>
        <w:numPr>
          <w:ilvl w:val="0"/>
          <w:numId w:val="1001"/>
        </w:numPr>
        <w:pStyle w:val="Compact"/>
      </w:pPr>
      <w:r>
        <w:rPr>
          <w:bCs/>
          <w:b/>
        </w:rPr>
        <w:t xml:space="preserve">State-Driven Infrastructure Projects:</w:t>
      </w:r>
      <w:r>
        <w:t xml:space="preserve"> </w:t>
      </w:r>
      <w:r>
        <w:t xml:space="preserve">Upgrades to Moscow Metro communication systems (e.g., Line 15 "Moscow Central Diameters") requiring advanced RF and embedded systems expertise.</w:t>
      </w:r>
    </w:p>
    <w:p>
      <w:pPr>
        <w:numPr>
          <w:ilvl w:val="0"/>
          <w:numId w:val="1001"/>
        </w:numPr>
        <w:pStyle w:val="Compact"/>
      </w:pPr>
      <w:r>
        <w:rPr>
          <w:bCs/>
          <w:b/>
        </w:rPr>
        <w:t xml:space="preserve">Russian Tech Sovereignty Initiatives:</w:t>
      </w:r>
      <w:r>
        <w:t xml:space="preserve"> </w:t>
      </w:r>
      <w:r>
        <w:t xml:space="preserve">Government mandates like the "Digital Economy" program accelerating local semiconductor design and industrial IoT adoption, creating urgent demand for indigenous Electronics Engineer talent.</w:t>
      </w:r>
    </w:p>
    <w:p>
      <w:pPr>
        <w:numPr>
          <w:ilvl w:val="0"/>
          <w:numId w:val="1001"/>
        </w:numPr>
        <w:pStyle w:val="Compact"/>
      </w:pPr>
      <w:r>
        <w:rPr>
          <w:bCs/>
          <w:b/>
        </w:rPr>
        <w:t xml:space="preserve">Energy Sector Modernization:</w:t>
      </w:r>
      <w:r>
        <w:t xml:space="preserve"> </w:t>
      </w:r>
      <w:r>
        <w:t xml:space="preserve">Moscow-based energy conglomerates (e.g., Rosseti) investing in smart grid technologies needing custom power electronics solutions.</w:t>
      </w:r>
    </w:p>
    <w:p>
      <w:pPr>
        <w:pStyle w:val="FirstParagraph"/>
      </w:pPr>
      <w:r>
        <w:t xml:space="preserve">The market is highly competitive, with local players like Elektronika JSC and international firms vying for contracts. Our differentiation through Moscow-based engineering teams offering rapid on-site support and GOST-standard compliance proved decisive.</w:t>
      </w:r>
    </w:p>
    <w:bookmarkEnd w:id="21"/>
    <w:bookmarkStart w:id="22" w:name="sales-performance-highlights"/>
    <w:p>
      <w:pPr>
        <w:pStyle w:val="Heading2"/>
      </w:pPr>
      <w:r>
        <w:t xml:space="preserve">Sales Performance Highlights</w:t>
      </w:r>
    </w:p>
    <w:p>
      <w:pPr>
        <w:pStyle w:val="FirstParagraph"/>
      </w:pPr>
      <w:r>
        <w:t xml:space="preserve">Our Electronics Engineers directly drove sales success by delivering client-specific solutions:</w:t>
      </w:r>
    </w:p>
    <w:p>
      <w:pPr>
        <w:numPr>
          <w:ilvl w:val="0"/>
          <w:numId w:val="1002"/>
        </w:numPr>
        <w:pStyle w:val="Compact"/>
      </w:pPr>
      <w:r>
        <w:rPr>
          <w:bCs/>
          <w:b/>
        </w:rPr>
        <w:t xml:space="preserve">Key Account Acquisition:</w:t>
      </w:r>
      <w:r>
        <w:t xml:space="preserve"> </w:t>
      </w:r>
      <w:r>
        <w:t xml:space="preserve">Secured a $1.1M contract with Moscow-based defense contractor, Kronshtadt Group, to design secure embedded systems for next-gen UAVs. The Electronics Engineer team reduced development time by 27% through modular architecture.</w:t>
      </w:r>
    </w:p>
    <w:p>
      <w:pPr>
        <w:numPr>
          <w:ilvl w:val="0"/>
          <w:numId w:val="1002"/>
        </w:numPr>
        <w:pStyle w:val="Compact"/>
      </w:pPr>
      <w:r>
        <w:rPr>
          <w:bCs/>
          <w:b/>
        </w:rPr>
        <w:t xml:space="preserve">Repeat Business Growth:</w:t>
      </w:r>
      <w:r>
        <w:t xml:space="preserve"> </w:t>
      </w:r>
      <w:r>
        <w:t xml:space="preserve">68% of revenue came from existing clients (e.g., Moscow Metro, Gazprom Energoholding), reflecting exceptional service quality and trust built by our on-ground Engineering teams.</w:t>
      </w:r>
    </w:p>
    <w:p>
      <w:pPr>
        <w:numPr>
          <w:ilvl w:val="0"/>
          <w:numId w:val="1002"/>
        </w:numPr>
        <w:pStyle w:val="Compact"/>
      </w:pPr>
      <w:r>
        <w:rPr>
          <w:bCs/>
          <w:b/>
        </w:rPr>
        <w:t xml:space="preserve">Niche Solution Success:</w:t>
      </w:r>
      <w:r>
        <w:t xml:space="preserve"> </w:t>
      </w:r>
      <w:r>
        <w:t xml:space="preserve">Developed a custom industrial sensor suite for a major Moscow automotive supplier (ZIL), increasing their production line efficiency by 19% and generating $320K in recurring maintenance contracts.</w:t>
      </w:r>
    </w:p>
    <w:bookmarkEnd w:id="22"/>
    <w:bookmarkStart w:id="23" w:name="X7eac20a17a736ee6b5d4ae287b86a2849d7cf97"/>
    <w:p>
      <w:pPr>
        <w:pStyle w:val="Heading2"/>
      </w:pPr>
      <w:r>
        <w:t xml:space="preserve">Role of the Electronics Engineer in Sales Strategy</w:t>
      </w:r>
    </w:p>
    <w:p>
      <w:pPr>
        <w:pStyle w:val="FirstParagraph"/>
      </w:pPr>
      <w:r>
        <w:t xml:space="preserve">This report underscores that our Electronics Engineers are not merely service providers—they are critical sales assets. Their role evolved beyond technical execution to:</w:t>
      </w:r>
    </w:p>
    <w:p>
      <w:pPr>
        <w:numPr>
          <w:ilvl w:val="0"/>
          <w:numId w:val="1003"/>
        </w:numPr>
        <w:pStyle w:val="Compact"/>
      </w:pPr>
      <w:r>
        <w:rPr>
          <w:bCs/>
          <w:b/>
        </w:rPr>
        <w:t xml:space="preserve">Consultative Selling:</w:t>
      </w:r>
      <w:r>
        <w:t xml:space="preserve"> </w:t>
      </w:r>
      <w:r>
        <w:t xml:space="preserve">Engineers conducted 83 client workshops in Moscow, translating complex technical needs into ROI-focused proposals (e.g., demonstrating how power optimization reduced a client's energy costs by 22%).</w:t>
      </w:r>
    </w:p>
    <w:p>
      <w:pPr>
        <w:numPr>
          <w:ilvl w:val="0"/>
          <w:numId w:val="1003"/>
        </w:numPr>
        <w:pStyle w:val="Compact"/>
      </w:pPr>
      <w:r>
        <w:rPr>
          <w:bCs/>
          <w:b/>
        </w:rPr>
        <w:t xml:space="preserve">Trust-Based Relationship Building:</w:t>
      </w:r>
      <w:r>
        <w:t xml:space="preserve"> </w:t>
      </w:r>
      <w:r>
        <w:t xml:space="preserve">Local engineers' fluency in Russian and understanding of Moscow business culture accelerated contract negotiations, shortening sales cycles by 31%.</w:t>
      </w:r>
    </w:p>
    <w:p>
      <w:pPr>
        <w:numPr>
          <w:ilvl w:val="0"/>
          <w:numId w:val="1003"/>
        </w:numPr>
        <w:pStyle w:val="Compact"/>
      </w:pPr>
      <w:r>
        <w:rPr>
          <w:bCs/>
          <w:b/>
        </w:rPr>
        <w:t xml:space="preserve">Solution Customization:</w:t>
      </w:r>
      <w:r>
        <w:t xml:space="preserve"> </w:t>
      </w:r>
      <w:r>
        <w:t xml:space="preserve">Engineers co-designed products with clients (e.g., adapting industrial controllers for harsh Moscow winter conditions), turning standard quotes into premium custom solutions with 40% higher margins.</w:t>
      </w:r>
    </w:p>
    <w:bookmarkEnd w:id="23"/>
    <w:bookmarkStart w:id="24" w:name="X6271b4499e6e85eb431c2c8f8eda3961bf38ffb"/>
    <w:p>
      <w:pPr>
        <w:pStyle w:val="Heading2"/>
      </w:pPr>
      <w:r>
        <w:t xml:space="preserve">Challenges and Mitigation in the Russia Moscow Market</w:t>
      </w:r>
    </w:p>
    <w:p>
      <w:pPr>
        <w:pStyle w:val="FirstParagraph"/>
      </w:pPr>
      <w:r>
        <w:t xml:space="preserve">Navigating the unique Russia Moscow environment required strategic adaptations:</w:t>
      </w:r>
    </w:p>
    <w:p>
      <w:pPr>
        <w:numPr>
          <w:ilvl w:val="0"/>
          <w:numId w:val="1004"/>
        </w:numPr>
        <w:pStyle w:val="Compact"/>
      </w:pPr>
      <w:r>
        <w:rPr>
          <w:bCs/>
          <w:b/>
        </w:rPr>
        <w:t xml:space="preserve">Supply Chain Disruptions:</w:t>
      </w:r>
      <w:r>
        <w:t xml:space="preserve"> </w:t>
      </w:r>
      <w:r>
        <w:t xml:space="preserve">Global component shortages impacted 15% of projects. Our Electronics Engineers mitigated this by redesigning PCBs using locally available Russian components (e.g., replacing imported ICs with GOST-certified alternatives from MICS), maintaining project timelines.</w:t>
      </w:r>
    </w:p>
    <w:p>
      <w:pPr>
        <w:numPr>
          <w:ilvl w:val="0"/>
          <w:numId w:val="1004"/>
        </w:numPr>
        <w:pStyle w:val="Compact"/>
      </w:pPr>
      <w:r>
        <w:rPr>
          <w:bCs/>
          <w:b/>
        </w:rPr>
        <w:t xml:space="preserve">Currency Volatility:</w:t>
      </w:r>
      <w:r>
        <w:t xml:space="preserve"> </w:t>
      </w:r>
      <w:r>
        <w:t xml:space="preserve">Ruble fluctuations affected pricing. We implemented dynamic pricing models based on Moscow-based spot rates, ensuring 98% of contracts maintained profit margins despite a 23% ruble devaluation vs. USD in Q3.</w:t>
      </w:r>
    </w:p>
    <w:p>
      <w:pPr>
        <w:numPr>
          <w:ilvl w:val="0"/>
          <w:numId w:val="1004"/>
        </w:numPr>
        <w:pStyle w:val="Compact"/>
      </w:pPr>
      <w:r>
        <w:rPr>
          <w:bCs/>
          <w:b/>
        </w:rPr>
        <w:t xml:space="preserve">Regulatory Navigation:</w:t>
      </w:r>
      <w:r>
        <w:t xml:space="preserve"> </w:t>
      </w:r>
      <w:r>
        <w:t xml:space="preserve">Strict GOST and EAC certification requirements were addressed through our dedicated Electronics Engineer compliance specialists stationed in Moscow, reducing certification delays by 45%.</w:t>
      </w:r>
    </w:p>
    <w:bookmarkEnd w:id="24"/>
    <w:bookmarkStart w:id="25" w:name="q4-2023-strategic-outlook"/>
    <w:p>
      <w:pPr>
        <w:pStyle w:val="Heading2"/>
      </w:pPr>
      <w:r>
        <w:t xml:space="preserve">Q4 2023 Strategic Outlook</w:t>
      </w:r>
    </w:p>
    <w:p>
      <w:pPr>
        <w:pStyle w:val="FirstParagraph"/>
      </w:pPr>
      <w:r>
        <w:t xml:space="preserve">Leveraging Q3 success, we project continued growth with targeted initiatives for the Moscow market:</w:t>
      </w:r>
    </w:p>
    <w:p>
      <w:pPr>
        <w:numPr>
          <w:ilvl w:val="0"/>
          <w:numId w:val="1005"/>
        </w:numPr>
        <w:pStyle w:val="Compact"/>
      </w:pPr>
      <w:r>
        <w:rPr>
          <w:bCs/>
          <w:b/>
        </w:rPr>
        <w:t xml:space="preserve">Expansion into Moscow’s Innovation Zones:</w:t>
      </w:r>
      <w:r>
        <w:t xml:space="preserve"> </w:t>
      </w:r>
      <w:r>
        <w:t xml:space="preserve">Targeting Skolkovo Tech Park clients needing AI-integrated electronics, with a dedicated 10-person Electronics Engineer team co-located at the innovation center.</w:t>
      </w:r>
    </w:p>
    <w:p>
      <w:pPr>
        <w:numPr>
          <w:ilvl w:val="0"/>
          <w:numId w:val="1005"/>
        </w:numPr>
        <w:pStyle w:val="Compact"/>
      </w:pPr>
      <w:r>
        <w:rPr>
          <w:bCs/>
          <w:b/>
        </w:rPr>
        <w:t xml:space="preserve">Localization of Engineering Talent:</w:t>
      </w:r>
      <w:r>
        <w:t xml:space="preserve"> </w:t>
      </w:r>
      <w:r>
        <w:t xml:space="preserve">Hiring 15 additional Russian-speaking Electronics Engineers in Moscow to deepen market penetration and reduce dependency on expat talent.</w:t>
      </w:r>
    </w:p>
    <w:p>
      <w:pPr>
        <w:numPr>
          <w:ilvl w:val="0"/>
          <w:numId w:val="1005"/>
        </w:numPr>
        <w:pStyle w:val="Compact"/>
      </w:pPr>
      <w:r>
        <w:rPr>
          <w:bCs/>
          <w:b/>
        </w:rPr>
        <w:t xml:space="preserve">New Service Line Launch:</w:t>
      </w:r>
      <w:r>
        <w:t xml:space="preserve"> </w:t>
      </w:r>
      <w:r>
        <w:t xml:space="preserve">"Moscow Industrial 4.0" package combining sensor networks, edge computing, and predictive analytics—directly addressing the city’s manufacturing modernization push.</w:t>
      </w:r>
    </w:p>
    <w:bookmarkEnd w:id="25"/>
    <w:bookmarkStart w:id="26" w:name="Xd6704ceda15176707f2a2f993e9edcddd350935"/>
    <w:p>
      <w:pPr>
        <w:pStyle w:val="Heading2"/>
      </w:pPr>
      <w:r>
        <w:t xml:space="preserve">Conclusion: Engineering Excellence as a Sales Driver</w:t>
      </w:r>
    </w:p>
    <w:p>
      <w:pPr>
        <w:pStyle w:val="FirstParagraph"/>
      </w:pPr>
      <w:r>
        <w:t xml:space="preserve">This Sales Report unequivocally demonstrates that our Electronics Engineers are the engine of growth in Russia Moscow. Their technical mastery, local market insight, and client-facing capabilities transformed complex engineering challenges into compelling sales opportunities. The Moscow market—characterized by its scale, strategic importance to Russia's tech ecosystem, and demanding clients—demanded this integrated approach. As one Kronshtadt Group executive noted: "Their Electronics Engineers didn’t just deliver a product; they engineered trust." With our Moscow-based team now accounting for 72% of sales revenue and a pipeline exceeding $6.8M USD, we are confidently positioning ourselves as the premier electronics engineering partner for Russia’s most critical industrial and infrastructure projects. Future success hinges on doubling down on this model: placing skilled Electronics Engineers at the heart of client relationships within Moscow’s evolving economic landscape.</w:t>
      </w:r>
    </w:p>
    <w:p>
      <w:pPr>
        <w:pStyle w:val="BodyText"/>
      </w:pPr>
      <w:r>
        <w:rPr>
          <w:bCs/>
          <w:b/>
        </w:rPr>
        <w:t xml:space="preserve">Prepared By:</w:t>
      </w:r>
      <w:r>
        <w:t xml:space="preserve"> </w:t>
      </w:r>
      <w:r>
        <w:t xml:space="preserve">Global Sales Strategy Division, Electronics Engineering Services</w:t>
      </w:r>
    </w:p>
    <w:p>
      <w:pPr>
        <w:pStyle w:val="BodyText"/>
      </w:pPr>
      <w:r>
        <w:rPr>
          <w:bCs/>
          <w:b/>
        </w:rPr>
        <w:t xml:space="preserve">Date:</w:t>
      </w:r>
      <w:r>
        <w:t xml:space="preserve"> </w:t>
      </w:r>
      <w:r>
        <w:t xml:space="preserve">October 26, 2023</w:t>
      </w:r>
    </w:p>
    <w:p>
      <w:pPr>
        <w:pStyle w:val="BodyText"/>
      </w:pPr>
      <w:r>
        <w:rPr>
          <w:bCs/>
          <w:b/>
        </w:rPr>
        <w:t xml:space="preserve">Region Covered:</w:t>
      </w:r>
      <w:r>
        <w:t xml:space="preserve"> </w:t>
      </w:r>
      <w:r>
        <w:t xml:space="preserve">Russia (with Moscow as the strategic operational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Moscow, Russia Market Performance</dc:title>
  <dc:creator/>
  <dc:language>en</dc:language>
  <cp:keywords/>
  <dcterms:created xsi:type="dcterms:W3CDTF">2025-12-12T16:22:34Z</dcterms:created>
  <dcterms:modified xsi:type="dcterms:W3CDTF">2025-12-12T16:22:34Z</dcterms:modified>
</cp:coreProperties>
</file>

<file path=docProps/custom.xml><?xml version="1.0" encoding="utf-8"?>
<Properties xmlns="http://schemas.openxmlformats.org/officeDocument/2006/custom-properties" xmlns:vt="http://schemas.openxmlformats.org/officeDocument/2006/docPropsVTypes"/>
</file>