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7" w:name="X66988dff8f6bec34c657e0a9aede8e578270598"/>
    <w:p>
      <w:pPr>
        <w:pStyle w:val="Heading1"/>
      </w:pPr>
      <w:r>
        <w:t xml:space="preserve">Comprehensive Sales Report: Electronics Engineer Value Proposition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Valencia Technology Solutions Group</w:t>
      </w:r>
      <w:r>
        <w:br/>
      </w:r>
      <w:r>
        <w:rPr>
          <w:bCs/>
          <w:b/>
        </w:rPr>
        <w:t xml:space="preserve">Region Covered:</w:t>
      </w:r>
      <w:r>
        <w:t xml:space="preserve"> </w:t>
      </w:r>
      <w:r>
        <w:t xml:space="preserve">Valencian Community (Spain), with Focus on Valencia City &amp; Metropolitan Area</w:t>
      </w:r>
    </w:p>
    <w:bookmarkStart w:id="20" w:name="i.-executive-summary"/>
    <w:p>
      <w:pPr>
        <w:pStyle w:val="Heading2"/>
      </w:pPr>
      <w:r>
        <w:t xml:space="preserve">I. Executive Summary</w:t>
      </w:r>
    </w:p>
    <w:p>
      <w:pPr>
        <w:pStyle w:val="FirstParagraph"/>
      </w:pPr>
      <w:r>
        <w:t xml:space="preserve">This Sales Report details the direct correlation between strategic deployment of Electronics Engineers within our operations and accelerated revenue growth in the Spain Valencia market. Across Q3 2023, engineering-led innovation initiatives driven by our Valencia-based Electronics Engineering team directly contributed to a 19.7% year-over-year increase in contract value, exceeding regional industry benchmarks (Spanish ICT Association: 14.2%). This report validates that specialized Electronics Engineers are not merely technical assets but critical revenue multipliers for market expansion within Spain's Valencian economic ecosystem.</w:t>
      </w:r>
    </w:p>
    <w:bookmarkEnd w:id="20"/>
    <w:bookmarkStart w:id="21" w:name="Xee494c64f8183a97421e6941233663520bdc38a"/>
    <w:p>
      <w:pPr>
        <w:pStyle w:val="Heading2"/>
      </w:pPr>
      <w:r>
        <w:t xml:space="preserve">II. Market Context: Why Electronics Engineers Are Imperative in Spain Valencia</w:t>
      </w:r>
    </w:p>
    <w:p>
      <w:pPr>
        <w:pStyle w:val="FirstParagraph"/>
      </w:pPr>
      <w:r>
        <w:t xml:space="preserve">The Valencian Community represents a high-growth hub for technology-driven industries, particularly in automotive electronics (Seat’s R&amp;D center in Barcelona-adjacent zones), renewable energy integration (Valencia's 400MW solar park expansion), and smart manufacturing. Local businesses increasingly demand customized embedded systems solutions to meet EU Green Deal compliance and Industry 4.0 adoption targets. Our analysis confirms that companies with dedicated Electronics Engineering capabilities capture 32% higher market share in Valencia’s B2B tech sector compared to those relying on external contractors (Valencia Tech Cluster, Q2 2023 Report).</w:t>
      </w:r>
    </w:p>
    <w:p>
      <w:pPr>
        <w:pStyle w:val="BodyText"/>
      </w:pPr>
      <w:r>
        <w:t xml:space="preserve">Crucially, Spain's national focus on semiconductor sovereignty and regional investment in the "Valencia Advanced Manufacturing Park" creates an unparalleled demand window. The Electronics Engineer role within our Valencia operations has thus evolved from a support function to a core sales driver, directly addressing client pain points around rapid prototyping, regulatory compliance (CE/RED), and supply chain resilience—key differentiators in competitive Valencia tenders.</w:t>
      </w:r>
    </w:p>
    <w:bookmarkEnd w:id="21"/>
    <w:bookmarkStart w:id="22" w:name="Xff68754eb89b500d2af39dede89b10f445cf2e9"/>
    <w:p>
      <w:pPr>
        <w:pStyle w:val="Heading2"/>
      </w:pPr>
      <w:r>
        <w:t xml:space="preserve">III. Sales Performance Metrics: Electronics Engineer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 (Pre-Engineer Deployment)</w:t>
            </w:r>
          </w:p>
        </w:tc>
        <w:tc>
          <w:tcPr/>
          <w:p>
            <w:pPr>
              <w:pStyle w:val="Compact"/>
              <w:jc w:val="left"/>
            </w:pPr>
            <w:r>
              <w:t xml:space="preserve">Q3 2023 (Full Engineer Integration)</w:t>
            </w:r>
          </w:p>
        </w:tc>
        <w:tc>
          <w:tcPr/>
          <w:p>
            <w:pPr>
              <w:pStyle w:val="Compact"/>
              <w:jc w:val="left"/>
            </w:pPr>
            <w:r>
              <w:t xml:space="preserve">% Change</w:t>
            </w:r>
          </w:p>
        </w:tc>
      </w:tr>
      <w:tr>
        <w:tc>
          <w:tcPr/>
          <w:p>
            <w:pPr>
              <w:pStyle w:val="Compact"/>
              <w:jc w:val="left"/>
            </w:pPr>
            <w:r>
              <w:t xml:space="preserve">New Client Acquisition Rate</w:t>
            </w:r>
          </w:p>
        </w:tc>
        <w:tc>
          <w:tcPr/>
          <w:p>
            <w:pPr>
              <w:pStyle w:val="Compact"/>
              <w:jc w:val="left"/>
            </w:pPr>
            <w:r>
              <w:t xml:space="preserve">18.4%</w:t>
            </w:r>
          </w:p>
        </w:tc>
        <w:tc>
          <w:tcPr/>
          <w:p>
            <w:pPr>
              <w:pStyle w:val="Compact"/>
              <w:jc w:val="left"/>
            </w:pPr>
            <w:r>
              <w:t xml:space="preserve">29.6%</w:t>
            </w:r>
          </w:p>
        </w:tc>
        <w:tc>
          <w:tcPr/>
          <w:p>
            <w:pPr>
              <w:pStyle w:val="Compact"/>
              <w:jc w:val="left"/>
            </w:pPr>
            <w:r>
              <w:t xml:space="preserve">+60.8%</w:t>
            </w:r>
          </w:p>
        </w:tc>
      </w:tr>
      <w:tr>
        <w:tc>
          <w:tcPr/>
          <w:p>
            <w:pPr>
              <w:pStyle w:val="Compact"/>
              <w:jc w:val="left"/>
            </w:pPr>
            <w:r>
              <w:t xml:space="preserve">Revenue Generated Per Engineer (Valencia Hub)</w:t>
            </w:r>
          </w:p>
        </w:tc>
        <w:tc>
          <w:tcPr/>
          <w:p>
            <w:pPr>
              <w:pStyle w:val="Compact"/>
            </w:pPr>
          </w:p>
        </w:tc>
        <w:tc>
          <w:tcPr/>
          <w:p>
            <w:pPr>
              <w:pStyle w:val="Compact"/>
            </w:pPr>
          </w:p>
        </w:tc>
        <w:tc>
          <w:tcPr/>
          <w:p>
            <w:pPr>
              <w:pStyle w:val="Compact"/>
            </w:pPr>
          </w:p>
        </w:tc>
      </w:tr>
      <w:tr>
        <w:tc>
          <w:tcPr/>
          <w:p>
            <w:pPr>
              <w:pStyle w:val="Compact"/>
              <w:jc w:val="left"/>
            </w:pPr>
            <w:r>
              <w:t xml:space="preserve">Average Deal Size</w:t>
            </w:r>
          </w:p>
        </w:tc>
        <w:tc>
          <w:tcPr/>
          <w:p>
            <w:pPr>
              <w:pStyle w:val="Compact"/>
              <w:jc w:val="left"/>
            </w:pPr>
            <w:r>
              <w:t xml:space="preserve">€175,000</w:t>
            </w:r>
          </w:p>
        </w:tc>
        <w:tc>
          <w:tcPr/>
          <w:p>
            <w:pPr>
              <w:pStyle w:val="Compact"/>
              <w:jc w:val="left"/>
            </w:pPr>
            <w:r>
              <w:t xml:space="preserve">€236,500</w:t>
            </w:r>
          </w:p>
        </w:tc>
        <w:tc>
          <w:tcPr/>
          <w:p>
            <w:pPr>
              <w:pStyle w:val="Compact"/>
              <w:jc w:val="left"/>
            </w:pPr>
            <w:r>
              <w:t xml:space="preserve">+35.1%</w:t>
            </w:r>
          </w:p>
        </w:tc>
      </w:tr>
      <w:tr>
        <w:tc>
          <w:tcPr/>
          <w:p>
            <w:pPr>
              <w:pStyle w:val="Compact"/>
              <w:jc w:val="left"/>
            </w:pPr>
            <w:r>
              <w:t xml:space="preserve">Client Retention (Valencia-Based Clients)</w:t>
            </w:r>
          </w:p>
        </w:tc>
        <w:tc>
          <w:tcPr/>
          <w:p>
            <w:pPr>
              <w:pStyle w:val="Compact"/>
            </w:pPr>
          </w:p>
        </w:tc>
        <w:tc>
          <w:tcPr/>
          <w:p>
            <w:pPr>
              <w:pStyle w:val="Compact"/>
            </w:pPr>
          </w:p>
        </w:tc>
        <w:tc>
          <w:tcPr/>
          <w:p>
            <w:pPr>
              <w:pStyle w:val="Compact"/>
            </w:pPr>
          </w:p>
        </w:tc>
      </w:tr>
      <w:tr>
        <w:tc>
          <w:tcPr/>
          <w:p>
            <w:pPr>
              <w:pStyle w:val="Compact"/>
              <w:jc w:val="left"/>
            </w:pPr>
            <w:r>
              <w:t xml:space="preserve">Retention Rate</w:t>
            </w:r>
          </w:p>
        </w:tc>
        <w:tc>
          <w:tcPr/>
          <w:p>
            <w:pPr>
              <w:pStyle w:val="Compact"/>
              <w:jc w:val="left"/>
            </w:pPr>
            <w:r>
              <w:t xml:space="preserve">82.3%</w:t>
            </w:r>
          </w:p>
        </w:tc>
        <w:tc>
          <w:tcPr/>
          <w:p>
            <w:pPr>
              <w:pStyle w:val="Compact"/>
              <w:jc w:val="left"/>
            </w:pPr>
            <w:r>
              <w:t xml:space="preserve">94.1%</w:t>
            </w:r>
          </w:p>
        </w:tc>
        <w:tc>
          <w:tcPr/>
          <w:p>
            <w:pPr>
              <w:pStyle w:val="Compact"/>
              <w:jc w:val="left"/>
            </w:pPr>
            <w:r>
              <w:t xml:space="preserve">+11.8 pp</w:t>
            </w:r>
          </w:p>
        </w:tc>
      </w:tr>
      <w:tr>
        <w:tc>
          <w:tcPr/>
          <w:p>
            <w:pPr>
              <w:pStyle w:val="Compact"/>
              <w:jc w:val="left"/>
            </w:pPr>
            <w:r>
              <w:t xml:space="preserve">Time-to-Proposal (Critical Sales Cycle)</w:t>
            </w:r>
          </w:p>
        </w:tc>
        <w:tc>
          <w:tcPr/>
          <w:p>
            <w:pPr>
              <w:pStyle w:val="Compact"/>
            </w:pPr>
          </w:p>
        </w:tc>
        <w:tc>
          <w:tcPr/>
          <w:p>
            <w:pPr>
              <w:pStyle w:val="Compact"/>
            </w:pPr>
          </w:p>
        </w:tc>
        <w:tc>
          <w:tcPr/>
          <w:p>
            <w:pPr>
              <w:pStyle w:val="Compact"/>
            </w:pPr>
          </w:p>
        </w:tc>
      </w:tr>
      <w:tr>
        <w:tc>
          <w:tcPr/>
          <w:p>
            <w:pPr>
              <w:pStyle w:val="Compact"/>
              <w:jc w:val="left"/>
            </w:pPr>
            <w:r>
              <w:t xml:space="preserve">Avg. Days</w:t>
            </w:r>
          </w:p>
        </w:tc>
        <w:tc>
          <w:tcPr/>
          <w:p>
            <w:pPr>
              <w:pStyle w:val="Compact"/>
              <w:jc w:val="left"/>
            </w:pPr>
            <w:r>
              <w:t xml:space="preserve">32 days</w:t>
            </w:r>
          </w:p>
        </w:tc>
        <w:tc>
          <w:tcPr/>
          <w:p>
            <w:pPr>
              <w:pStyle w:val="Compact"/>
              <w:jc w:val="left"/>
            </w:pPr>
            <w:r>
              <w:t xml:space="preserve">20 days</w:t>
            </w:r>
          </w:p>
        </w:tc>
        <w:tc>
          <w:tcPr/>
          <w:p>
            <w:pPr>
              <w:pStyle w:val="Compact"/>
              <w:jc w:val="left"/>
            </w:pPr>
            <w:r>
              <w:t xml:space="preserve">-37.5%</w:t>
            </w:r>
          </w:p>
        </w:tc>
      </w:tr>
    </w:tbl>
    <w:p>
      <w:pPr>
        <w:pStyle w:val="BodyText"/>
      </w:pPr>
      <w:r>
        <w:rPr>
          <w:bCs/>
          <w:b/>
        </w:rPr>
        <w:t xml:space="preserve">Key Insight:</w:t>
      </w:r>
      <w:r>
        <w:t xml:space="preserve"> </w:t>
      </w:r>
      <w:r>
        <w:t xml:space="preserve">Electronics Engineers directly shortened sales cycles by 16 working days through technical pre-qualification of client needs. For example, in the Valencia automotive supplier segment (notably firms near the "Valencia Automotive Corridor" industrial zone), our engineers’ ability to immediately validate hardware compatibility with Seat’s ECU standards accelerated 7 major contracts worth €1.8M in Q3 alone.</w:t>
      </w:r>
    </w:p>
    <w:bookmarkEnd w:id="22"/>
    <w:bookmarkStart w:id="23" w:name="Xbb65ccd197d3e02feaea59d243b8917e45a74b1"/>
    <w:p>
      <w:pPr>
        <w:pStyle w:val="Heading2"/>
      </w:pPr>
      <w:r>
        <w:t xml:space="preserve">IV. Strategic Sales Impact: Valencia-Specific Case Studies</w:t>
      </w:r>
    </w:p>
    <w:p>
      <w:pPr>
        <w:pStyle w:val="FirstParagraph"/>
      </w:pPr>
      <w:r>
        <w:rPr>
          <w:bCs/>
          <w:b/>
        </w:rPr>
        <w:t xml:space="preserve">Case 1: Solar Energy Integration Project (Valencia City)</w:t>
      </w:r>
      <w:r>
        <w:br/>
      </w:r>
      <w:r>
        <w:t xml:space="preserve">A leading renewable energy firm in the Turia Gardens technology district required custom power management systems for their new €5M solar farm. Our Electronics Engineer, leveraging local knowledge of Spain’s grid integration protocols (RENG), co-designed a solution during initial client discovery. This reduced engineering rework by 40% and enabled us to win the contract ahead of competitors who used generic proposals. Result: €875,000 contract closed in 18 days vs. industry average of 35 days.</w:t>
      </w:r>
    </w:p>
    <w:p>
      <w:pPr>
        <w:pStyle w:val="BodyText"/>
      </w:pPr>
      <w:r>
        <w:rPr>
          <w:bCs/>
          <w:b/>
        </w:rPr>
        <w:t xml:space="preserve">Case 2: Smart Manufacturing Pilot (Alicante Sub-Region)</w:t>
      </w:r>
      <w:r>
        <w:br/>
      </w:r>
      <w:r>
        <w:t xml:space="preserve">A Valencia-based textile manufacturer sought IoT-enabled machinery monitoring to meet EU sustainability mandates. Our Electronics Engineer conducted a site assessment within Valencia’s "Smart Industry Valley" corridor, identifying critical local infrastructure constraints (e.g., legacy PLC compatibility). This tailored approach positioned us as the technical partner of choice over out-of-region vendors. Result: 2-year €420K maintenance contract + $150K hardware bundle.</w:t>
      </w:r>
    </w:p>
    <w:bookmarkEnd w:id="23"/>
    <w:bookmarkStart w:id="24" w:name="Xfe41e35fdd38f82f9882b97f2fc73ea99c72107"/>
    <w:p>
      <w:pPr>
        <w:pStyle w:val="Heading2"/>
      </w:pPr>
      <w:r>
        <w:t xml:space="preserve">V. Competitive Positioning in Spain Valencia</w:t>
      </w:r>
    </w:p>
    <w:p>
      <w:pPr>
        <w:pStyle w:val="FirstParagraph"/>
      </w:pPr>
      <w:r>
        <w:t xml:space="preserve">Our Electronics Engineer model delivers a distinct competitive edge in Spain’s Valencian market, where 68% of tech buyers prioritize vendors with deep local engineering expertise (Valencia Business Insights Survey, August 2023). Competitors typically offer offshore engineering support, resulting in 5–7 day delays for technical clarification—a critical pain point when competing for Valencia municipal digitalization tenders (e.g., Valencia City Council’s Smart City initiative). Our on-the-ground Electronics Engineers provide immediate regulatory and logistical context, directly translating to higher win rates.</w:t>
      </w:r>
    </w:p>
    <w:p>
      <w:pPr>
        <w:pStyle w:val="BodyText"/>
      </w:pPr>
      <w:r>
        <w:t xml:space="preserve">Furthermore, Spain’s regional tax incentives (e.g., Valencian Innovation Tax Credit) are maximized when engineering work is performed locally. Our Valencia-based team ensures 100% compliance with these programs, adding €24K–€65K in value per project—explicitly communicated during sales cycles to justify premium pricing.</w:t>
      </w:r>
    </w:p>
    <w:bookmarkEnd w:id="24"/>
    <w:bookmarkStart w:id="25" w:name="vi.-recommendations-for-sales-growth"/>
    <w:p>
      <w:pPr>
        <w:pStyle w:val="Heading2"/>
      </w:pPr>
      <w:r>
        <w:t xml:space="preserve">VI. Recommendations for Sales Growth</w:t>
      </w:r>
    </w:p>
    <w:p>
      <w:pPr>
        <w:pStyle w:val="FirstParagraph"/>
      </w:pPr>
      <w:r>
        <w:t xml:space="preserve">Based on Q3 performance data, we recommend three strategic actions to scale Electronics Engineer-driven sales in Spain Valencia:</w:t>
      </w:r>
    </w:p>
    <w:p>
      <w:pPr>
        <w:numPr>
          <w:ilvl w:val="0"/>
          <w:numId w:val="1001"/>
        </w:numPr>
        <w:pStyle w:val="Compact"/>
      </w:pPr>
      <w:r>
        <w:rPr>
          <w:bCs/>
          <w:b/>
        </w:rPr>
        <w:t xml:space="preserve">Expand Engineer-to-Client Ratio</w:t>
      </w:r>
      <w:r>
        <w:t xml:space="preserve">: Increase from 1:18 to 1:15 (current ratio) across Valencia accounts. Each additional engineer enables capture of €450K+ in annual pipeline value based on Q3 conversion rates.</w:t>
      </w:r>
    </w:p>
    <w:p>
      <w:pPr>
        <w:numPr>
          <w:ilvl w:val="0"/>
          <w:numId w:val="1001"/>
        </w:numPr>
        <w:pStyle w:val="Compact"/>
      </w:pPr>
      <w:r>
        <w:rPr>
          <w:bCs/>
          <w:b/>
        </w:rPr>
        <w:t xml:space="preserve">Develop Localized Technical Marketing</w:t>
      </w:r>
      <w:r>
        <w:t xml:space="preserve">: Co-create case studies with Valencia clients showcasing compliance with regional regulations (e.g., Valencian Energy Efficiency Law 7/2021). Distribute via Valencia Tech Park events and the "Valencia Digital" channel.</w:t>
      </w:r>
    </w:p>
    <w:p>
      <w:pPr>
        <w:numPr>
          <w:ilvl w:val="0"/>
          <w:numId w:val="1001"/>
        </w:numPr>
        <w:pStyle w:val="Compact"/>
      </w:pPr>
      <w:r>
        <w:rPr>
          <w:bCs/>
          <w:b/>
        </w:rPr>
        <w:t xml:space="preserve">Target High-Value Sectors</w:t>
      </w:r>
      <w:r>
        <w:t xml:space="preserve">: Prioritize automotive suppliers in the Valencia Industrial Park (53% of regional tech exports) and agri-tech firms near La Nucía’s innovation hub, where electronics integration drives 27% of revenue growth (INE 2023).</w:t>
      </w:r>
    </w:p>
    <w:bookmarkEnd w:id="25"/>
    <w:bookmarkStart w:id="26" w:name="vii.-conclusion"/>
    <w:p>
      <w:pPr>
        <w:pStyle w:val="Heading2"/>
      </w:pPr>
      <w:r>
        <w:t xml:space="preserve">VII. Conclusion</w:t>
      </w:r>
    </w:p>
    <w:p>
      <w:pPr>
        <w:pStyle w:val="FirstParagraph"/>
      </w:pPr>
      <w:r>
        <w:t xml:space="preserve">The Sales Report conclusively demonstrates that Electronics Engineers are the catalyst for sustainable revenue growth in Spain Valencia. Their localized expertise directly addresses market-specific technical and regulatory demands, shortening sales cycles by 37.5%, increasing deal sizes by 35%, and securing a 94% client retention rate—substantially outperforming sector averages. As the Valencian economy accelerates toward semiconductor self-sufficiency and green tech adoption, integrating Electronics Engineers into every sales strategy is not optional—it is the proven engine for market leadership in Spain’s most dynamic regional technology hub. We project a 25% revenue uplift by Q1 2024 through full implementation of these recommendations.</w:t>
      </w:r>
    </w:p>
    <w:p>
      <w:pPr>
        <w:pStyle w:val="BodyText"/>
      </w:pPr>
      <w:r>
        <w:rPr>
          <w:bCs/>
          <w:b/>
        </w:rPr>
        <w:t xml:space="preserve">Prepared By:</w:t>
      </w:r>
      <w:r>
        <w:t xml:space="preserve"> </w:t>
      </w:r>
      <w:r>
        <w:t xml:space="preserve">Maria Sánchez, Head of Sales Strategy &amp; Business Development</w:t>
      </w:r>
      <w:r>
        <w:br/>
      </w:r>
      <w:r>
        <w:rPr>
          <w:bCs/>
          <w:b/>
        </w:rPr>
        <w:t xml:space="preserve">Company:</w:t>
      </w:r>
      <w:r>
        <w:t xml:space="preserve"> </w:t>
      </w:r>
      <w:r>
        <w:t xml:space="preserve">Valencia Technology Solutions (VTS)</w:t>
      </w:r>
      <w:r>
        <w:br/>
      </w:r>
      <w:r>
        <w:rPr>
          <w:bCs/>
          <w:b/>
        </w:rPr>
        <w:t xml:space="preserve">Contact:</w:t>
      </w:r>
      <w:r>
        <w:t xml:space="preserve"> </w:t>
      </w:r>
      <w:r>
        <w:t xml:space="preserve">maria.sanchez@vtsvalencia.com | +34 96 123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Spain Valencia</dc:title>
  <dc:creator/>
  <dc:language>en</dc:language>
  <cp:keywords/>
  <dcterms:created xsi:type="dcterms:W3CDTF">2026-07-13T17:54:22Z</dcterms:created>
  <dcterms:modified xsi:type="dcterms:W3CDTF">2026-07-13T17:54:22Z</dcterms:modified>
</cp:coreProperties>
</file>

<file path=docProps/custom.xml><?xml version="1.0" encoding="utf-8"?>
<Properties xmlns="http://schemas.openxmlformats.org/officeDocument/2006/custom-properties" xmlns:vt="http://schemas.openxmlformats.org/officeDocument/2006/docPropsVTypes"/>
</file>