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8" w:name="Xf4634d2af326b702479bd171df335f15c9a1d30"/>
    <w:p>
      <w:pPr>
        <w:pStyle w:val="Heading1"/>
      </w:pPr>
      <w:r>
        <w:t xml:space="preserve">Electronics Engineer Sales Performance Report</w:t>
      </w:r>
    </w:p>
    <w:bookmarkStart w:id="27" w:name="X085210ed568eafae9c6e94151f499ea1e6a8f9b"/>
    <w:p>
      <w:pPr>
        <w:pStyle w:val="Heading2"/>
      </w:pPr>
      <w:r>
        <w:t xml:space="preserve">United Kingdom London Market Analysis &amp; Strategic Outlook</w:t>
      </w:r>
    </w:p>
    <w:p>
      <w:pPr>
        <w:pStyle w:val="FirstParagraph"/>
      </w:pPr>
      <w:r>
        <w:t xml:space="preserve">Prepared For: Senior Management, London Electronics Division</w:t>
      </w:r>
      <w:r>
        <w:br/>
      </w:r>
      <w:r>
        <w:t xml:space="preserve">Report Period: Q1 2024 - Q3 2024</w:t>
      </w:r>
      <w:r>
        <w:br/>
      </w:r>
      <w:r>
        <w:t xml:space="preserve">Date: October 26, 2024</w:t>
      </w:r>
    </w:p>
    <w:bookmarkStart w:id="20" w:name="executive-summary"/>
    <w:p>
      <w:pPr>
        <w:pStyle w:val="Heading3"/>
      </w:pPr>
      <w:r>
        <w:t xml:space="preserve">Executive Summary</w:t>
      </w:r>
    </w:p>
    <w:p>
      <w:pPr>
        <w:pStyle w:val="FirstParagraph"/>
      </w:pPr>
      <w:r>
        <w:t xml:space="preserve">This comprehensive Sales Report details the performance of our Electronics Engineer team operating within the competitive landscape of United Kingdom London. As the capital city drives technological innovation across Europe, our engineers have demonstrated exceptional capability in converting complex technical solutions into commercial success. The report reveals a 17% year-over-year growth in revenue for London-based Electronics Engineer initiatives, significantly outperforming the UK national average of 8%. This achievement underscores the strategic importance of our engineering-led sales approach in securing premium contracts within London's high-value electronics sector.</w:t>
      </w:r>
    </w:p>
    <w:bookmarkEnd w:id="20"/>
    <w:bookmarkStart w:id="21" w:name="Xc09e5158a0c255b87e8fd0838f4273d5c24fa9b"/>
    <w:p>
      <w:pPr>
        <w:pStyle w:val="Heading3"/>
      </w:pPr>
      <w:r>
        <w:t xml:space="preserve">Market Context: United Kingdom London Electronics Sector</w:t>
      </w:r>
    </w:p>
    <w:p>
      <w:pPr>
        <w:pStyle w:val="FirstParagraph"/>
      </w:pPr>
      <w:r>
        <w:t xml:space="preserve">London serves as the nerve center for electronics innovation in the United Kingdom, hosting 68% of Europe's top semiconductor firms and 45% of all high-tech venture capital investments. As an Electronics Engineer operating within this ecosystem, our team navigates a market characterized by rapidly evolving standards (including UKCA marking compliance post-Brexit), fierce competition from German and Dutch engineering firms, and unprecedented demand for IoT-enabled industrial solutions. The United Kingdom London market represents £12.8 billion of the total £47 billion UK electronics sector, with 32% growth in smart infrastructure contracts over the past 18 months – a trend our Electronics Engineer specialists have strategically capitalized on.</w:t>
      </w:r>
    </w:p>
    <w:bookmarkEnd w:id="21"/>
    <w:bookmarkStart w:id="22" w:name="sales-performance-analysis-key-metrics"/>
    <w:p>
      <w:pPr>
        <w:pStyle w:val="Heading3"/>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Q1-Q3 2024</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Revenue (London)</w:t>
            </w:r>
          </w:p>
        </w:tc>
        <w:tc>
          <w:tcPr/>
          <w:p>
            <w:pPr>
              <w:pStyle w:val="Compact"/>
              <w:jc w:val="left"/>
            </w:pPr>
            <w:r>
              <w:t xml:space="preserve">£8.2M</w:t>
            </w:r>
          </w:p>
        </w:tc>
        <w:tc>
          <w:tcPr/>
          <w:p>
            <w:pPr>
              <w:pStyle w:val="Compact"/>
              <w:jc w:val="left"/>
            </w:pPr>
            <w:r>
              <w:t xml:space="preserve">+17%</w:t>
            </w:r>
          </w:p>
        </w:tc>
        <w:tc>
          <w:tcPr/>
          <w:p>
            <w:pPr>
              <w:pStyle w:val="Compact"/>
              <w:jc w:val="left"/>
            </w:pPr>
            <w:r>
              <w:t xml:space="preserve">103%</w:t>
            </w:r>
          </w:p>
        </w:tc>
      </w:tr>
      <w:tr>
        <w:tc>
          <w:tcPr/>
          <w:p>
            <w:pPr>
              <w:pStyle w:val="Compact"/>
              <w:jc w:val="left"/>
            </w:pPr>
            <w:r>
              <w:t xml:space="preserve">New Client Acquisition</w:t>
            </w:r>
          </w:p>
        </w:tc>
        <w:tc>
          <w:tcPr/>
          <w:p>
            <w:pPr>
              <w:pStyle w:val="Compact"/>
              <w:jc w:val="left"/>
            </w:pPr>
            <w:r>
              <w:t xml:space="preserve">42 Clients</w:t>
            </w:r>
          </w:p>
        </w:tc>
        <w:tc>
          <w:tcPr/>
          <w:p>
            <w:pPr>
              <w:pStyle w:val="Compact"/>
              <w:jc w:val="left"/>
            </w:pPr>
            <w:r>
              <w:t xml:space="preserve">+29%</w:t>
            </w:r>
          </w:p>
        </w:tc>
        <w:tc>
          <w:tcPr/>
          <w:p>
            <w:pPr>
              <w:pStyle w:val="Compact"/>
              <w:jc w:val="left"/>
            </w:pPr>
            <w:r>
              <w:t xml:space="preserve">115%</w:t>
            </w:r>
          </w:p>
        </w:tc>
      </w:tr>
      <w:tr>
        <w:tc>
          <w:tcPr/>
          <w:p>
            <w:pPr>
              <w:pStyle w:val="Compact"/>
              <w:jc w:val="left"/>
            </w:pPr>
            <w:r>
              <w:t xml:space="preserve">Project Win Rate (Engineering-led)</w:t>
            </w:r>
          </w:p>
        </w:tc>
        <w:tc>
          <w:tcPr/>
          <w:p>
            <w:pPr>
              <w:pStyle w:val="Compact"/>
              <w:jc w:val="left"/>
            </w:pPr>
            <w:r>
              <w:t xml:space="preserve">68%</w:t>
            </w:r>
          </w:p>
        </w:tc>
        <w:tc>
          <w:tcPr/>
          <w:p>
            <w:pPr>
              <w:pStyle w:val="Compact"/>
              <w:jc w:val="left"/>
            </w:pPr>
            <w:r>
              <w:t xml:space="preserve">+14 pts</w:t>
            </w:r>
          </w:p>
        </w:tc>
        <w:tc>
          <w:tcPr/>
          <w:p>
            <w:pPr>
              <w:pStyle w:val="Compact"/>
              <w:jc w:val="left"/>
            </w:pPr>
            <w:r>
              <w:t xml:space="preserve">N/A</w:t>
            </w:r>
          </w:p>
        </w:tc>
      </w:tr>
      <w:tr>
        <w:tc>
          <w:tcPr/>
          <w:p>
            <w:pPr>
              <w:pStyle w:val="Compact"/>
              <w:jc w:val="left"/>
            </w:pPr>
            <w:r>
              <w:t xml:space="preserve">Average Deal Size (London)</w:t>
            </w:r>
          </w:p>
        </w:tc>
        <w:tc>
          <w:tcPr/>
          <w:p>
            <w:pPr>
              <w:pStyle w:val="Compact"/>
              <w:jc w:val="left"/>
            </w:pPr>
            <w:r>
              <w:t xml:space="preserve">£385,000</w:t>
            </w:r>
          </w:p>
        </w:tc>
        <w:tc>
          <w:tcPr/>
          <w:p>
            <w:pPr>
              <w:pStyle w:val="Compact"/>
              <w:jc w:val="left"/>
            </w:pPr>
            <w:r>
              <w:t xml:space="preserve">+22%</w:t>
            </w:r>
          </w:p>
        </w:tc>
        <w:tc>
          <w:tcPr/>
          <w:p>
            <w:pPr>
              <w:pStyle w:val="Compact"/>
              <w:jc w:val="left"/>
            </w:pPr>
            <w:r>
              <w:t xml:space="preserve">97%</w:t>
            </w:r>
          </w:p>
        </w:tc>
      </w:tr>
    </w:tbl>
    <w:p>
      <w:pPr>
        <w:pStyle w:val="BodyText"/>
      </w:pPr>
      <w:r>
        <w:t xml:space="preserve">The Electronics Engineer team in United Kingdom London achieved exceptional results by leveraging technical expertise to address client-specific challenges. Notable wins include a £1.8M contract with Transport for London for AI-powered traffic management systems, where our engineer's understanding of real-time sensor integration directly influenced the proposal's success. This contrasts with traditional sales approaches that failed to secure similar high-value contracts in previous quarters.</w:t>
      </w:r>
    </w:p>
    <w:bookmarkEnd w:id="22"/>
    <w:bookmarkStart w:id="23" w:name="X1c09e239ed91ca877e1d83afa0e1fa8b90c2d9f"/>
    <w:p>
      <w:pPr>
        <w:pStyle w:val="Heading3"/>
      </w:pPr>
      <w:r>
        <w:t xml:space="preserve">Strategic Advantages of Electronics Engineer Sales Model</w:t>
      </w:r>
    </w:p>
    <w:p>
      <w:pPr>
        <w:pStyle w:val="FirstParagraph"/>
      </w:pPr>
      <w:r>
        <w:t xml:space="preserve">Unlike conventional sales teams, our London-based Electronics Engineer team operates as technical consultants first, sales partners second. This model has delivered three critical advantages:</w:t>
      </w:r>
    </w:p>
    <w:p>
      <w:pPr>
        <w:numPr>
          <w:ilvl w:val="0"/>
          <w:numId w:val="1001"/>
        </w:numPr>
        <w:pStyle w:val="Compact"/>
      </w:pPr>
      <w:r>
        <w:rPr>
          <w:bCs/>
          <w:b/>
        </w:rPr>
        <w:t xml:space="preserve">Complex Solution Selling:</w:t>
      </w:r>
      <w:r>
        <w:t xml:space="preserve"> </w:t>
      </w:r>
      <w:r>
        <w:t xml:space="preserve">Engineers have successfully navigated multi-million-pound bids for semiconductor manufacturing equipment (e.g., £3.4M deal with ARM Holdings) by demonstrating deep understanding of EDA software compatibility and thermal management systems.</w:t>
      </w:r>
    </w:p>
    <w:p>
      <w:pPr>
        <w:numPr>
          <w:ilvl w:val="0"/>
          <w:numId w:val="1001"/>
        </w:numPr>
        <w:pStyle w:val="Compact"/>
      </w:pPr>
      <w:r>
        <w:rPr>
          <w:bCs/>
          <w:b/>
        </w:rPr>
        <w:t xml:space="preserve">Regulatory Navigation:</w:t>
      </w:r>
      <w:r>
        <w:t xml:space="preserve"> </w:t>
      </w:r>
      <w:r>
        <w:t xml:space="preserve">Our engineers' familiarity with UKCA marking, EMC directives, and cybersecurity regulations (NIS2 Directive) has accelerated compliance processes by 37% compared to non-engineer-led sales teams.</w:t>
      </w:r>
    </w:p>
    <w:p>
      <w:pPr>
        <w:numPr>
          <w:ilvl w:val="0"/>
          <w:numId w:val="1001"/>
        </w:numPr>
        <w:pStyle w:val="Compact"/>
      </w:pPr>
      <w:r>
        <w:rPr>
          <w:bCs/>
          <w:b/>
        </w:rPr>
        <w:t xml:space="preserve">Cross-Sell Opportunities:</w:t>
      </w:r>
      <w:r>
        <w:t xml:space="preserve"> </w:t>
      </w:r>
      <w:r>
        <w:t xml:space="preserve">Technical credibility led to 28% of new clients expanding into adjacent product lines (e.g., switching from PCB design services to full IoT deployment solutions).</w:t>
      </w:r>
    </w:p>
    <w:bookmarkEnd w:id="23"/>
    <w:bookmarkStart w:id="24" w:name="london-specific-market-challenges"/>
    <w:p>
      <w:pPr>
        <w:pStyle w:val="Heading3"/>
      </w:pPr>
      <w:r>
        <w:t xml:space="preserve">London-Specific Market Challenges</w:t>
      </w:r>
    </w:p>
    <w:p>
      <w:pPr>
        <w:pStyle w:val="FirstParagraph"/>
      </w:pPr>
      <w:r>
        <w:t xml:space="preserve">Despite strong performance, the United Kingdom London electronics market presents unique hurdles. The 2024 UK Digital Markets Unit (DMU) regulations have increased compliance complexity for hardware manufacturers, requiring Electronics Engineer teams to spend 18% more time on documentation. Additionally, London's talent scarcity – with a 35% vacancy rate for senior RF engineers in the Greater London area – has pressured our sales cycle times. We've mitigated this through strategic partnerships with Imperial College London and UCL for engineering talent pipelines, reducing recruitment lead times by 40%.</w:t>
      </w:r>
    </w:p>
    <w:bookmarkEnd w:id="24"/>
    <w:bookmarkStart w:id="25" w:name="future-outlook-strategic-recommendations"/>
    <w:p>
      <w:pPr>
        <w:pStyle w:val="Heading3"/>
      </w:pPr>
      <w:r>
        <w:t xml:space="preserve">Future Outlook &amp; Strategic Recommendations</w:t>
      </w:r>
    </w:p>
    <w:p>
      <w:pPr>
        <w:pStyle w:val="FirstParagraph"/>
      </w:pPr>
      <w:r>
        <w:t xml:space="preserve">Based on current market trends in United Kingdom London, we recommend three critical actions to sustain growth:</w:t>
      </w:r>
    </w:p>
    <w:p>
      <w:pPr>
        <w:numPr>
          <w:ilvl w:val="0"/>
          <w:numId w:val="1002"/>
        </w:numPr>
        <w:pStyle w:val="Compact"/>
      </w:pPr>
      <w:r>
        <w:rPr>
          <w:bCs/>
          <w:b/>
        </w:rPr>
        <w:t xml:space="preserve">Expand Smart Infrastructure Focus:</w:t>
      </w:r>
      <w:r>
        <w:t xml:space="preserve"> </w:t>
      </w:r>
      <w:r>
        <w:t xml:space="preserve">Capitalize on London's £1.3B smart city investment plan by developing specialized Electronics Engineer teams for energy-efficient grid solutions. Market potential: £68M in 2025.</w:t>
      </w:r>
    </w:p>
    <w:p>
      <w:pPr>
        <w:numPr>
          <w:ilvl w:val="0"/>
          <w:numId w:val="1002"/>
        </w:numPr>
        <w:pStyle w:val="Compact"/>
      </w:pPr>
      <w:r>
        <w:rPr>
          <w:bCs/>
          <w:b/>
        </w:rPr>
        <w:t xml:space="preserve">Establish London Tech Hub:</w:t>
      </w:r>
      <w:r>
        <w:t xml:space="preserve"> </w:t>
      </w:r>
      <w:r>
        <w:t xml:space="preserve">Create a dedicated engineering innovation center in Shoreditch to co-develop solutions with startups, addressing the 47% of London-based clients seeking agile prototyping services.</w:t>
      </w:r>
    </w:p>
    <w:p>
      <w:pPr>
        <w:numPr>
          <w:ilvl w:val="0"/>
          <w:numId w:val="1002"/>
        </w:numPr>
        <w:pStyle w:val="Compact"/>
      </w:pPr>
      <w:r>
        <w:rPr>
          <w:bCs/>
          <w:b/>
        </w:rPr>
        <w:t xml:space="preserve">Enhance Regulatory Expertise:</w:t>
      </w:r>
      <w:r>
        <w:t xml:space="preserve"> </w:t>
      </w:r>
      <w:r>
        <w:t xml:space="preserve">Invest £250K in UKCA compliance certification for all Electronics Engineer staff by Q2 2025, directly targeting the 63% of enterprise clients citing regulatory concerns as a deal blocker.</w:t>
      </w:r>
    </w:p>
    <w:bookmarkEnd w:id="25"/>
    <w:bookmarkStart w:id="26" w:name="conclusion"/>
    <w:p>
      <w:pPr>
        <w:pStyle w:val="Heading3"/>
      </w:pPr>
      <w:r>
        <w:t xml:space="preserve">Conclusion</w:t>
      </w:r>
    </w:p>
    <w:p>
      <w:pPr>
        <w:pStyle w:val="FirstParagraph"/>
      </w:pPr>
      <w:r>
        <w:t xml:space="preserve">This Sales Report unequivocally demonstrates that embedding an Electronics Engineer at the core of our London sales strategy delivers superior commercial outcomes. The United Kingdom London market's sophistication demands technical credibility over traditional selling – a competency our engineers have mastered through 12+ months of targeted training in UK-specific regulatory frameworks and client-sector knowledge (including healthcare tech, fintech, and infrastructure). With projected 19% growth in the London electronics services market for 2025, we are positioned to capture significant market share through this engineer-led approach. We recommend doubling down on this model while implementing our strategic recommendations to secure leadership in the United Kingdom's most dynamic electronics marketplace.</w:t>
      </w:r>
    </w:p>
    <w:p>
      <w:pPr>
        <w:pStyle w:val="BodyText"/>
      </w:pPr>
      <w:r>
        <w:t xml:space="preserve">"In London, technology sells itself when the engineer speaks first – that is the core truth of our Sales Report success."</w:t>
      </w:r>
    </w:p>
    <w:p>
      <w:pPr>
        <w:pStyle w:val="BodyText"/>
      </w:pPr>
      <w:r>
        <w:rPr>
          <w:bCs/>
          <w:b/>
        </w:rPr>
        <w:t xml:space="preserve">Prepared by:</w:t>
      </w:r>
      <w:r>
        <w:t xml:space="preserve"> </w:t>
      </w:r>
      <w:r>
        <w:t xml:space="preserve">London Electronics Sales Strategy Team</w:t>
      </w:r>
    </w:p>
    <w:p>
      <w:pPr>
        <w:pStyle w:val="BodyText"/>
      </w:pPr>
      <w:r>
        <w:rPr>
          <w:iCs/>
          <w:i/>
        </w:rPr>
        <w:t xml:space="preserve">United Kingdom London Headquarters, Stratford Business District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Kingdom London</dc:title>
  <dc:creator/>
  <dc:language>en</dc:language>
  <cp:keywords/>
  <dcterms:created xsi:type="dcterms:W3CDTF">2026-07-21T04:55:35Z</dcterms:created>
  <dcterms:modified xsi:type="dcterms:W3CDTF">2026-07-21T04:55:35Z</dcterms:modified>
</cp:coreProperties>
</file>

<file path=docProps/custom.xml><?xml version="1.0" encoding="utf-8"?>
<Properties xmlns="http://schemas.openxmlformats.org/officeDocument/2006/custom-properties" xmlns:vt="http://schemas.openxmlformats.org/officeDocument/2006/docPropsVTypes"/>
</file>