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34" w:name="Xaa4057a0d013be9633a826a786637185d8f4f4e"/>
    <w:p>
      <w:pPr>
        <w:pStyle w:val="Heading1"/>
      </w:pPr>
      <w:r>
        <w:t xml:space="preserve">Comprehensive Sales Report: Environmental Engineering Services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Global Sustainability Solutions Division</w:t>
      </w:r>
    </w:p>
    <w:bookmarkStart w:id="20" w:name="i.-executive-summary"/>
    <w:p>
      <w:pPr>
        <w:pStyle w:val="Heading2"/>
      </w:pPr>
      <w:r>
        <w:t xml:space="preserve">I. Executive Summary</w:t>
      </w:r>
    </w:p>
    <w:p>
      <w:pPr>
        <w:pStyle w:val="FirstParagraph"/>
      </w:pPr>
      <w:r>
        <w:t xml:space="preserve">This Sales Report details the performance of Environmental Engineering services across Belgium Brussels during Q3 2023. As the European Union's policy hub, Brussels presents a unique ecosystem where environmental regulations intersect with commercial opportunities. Our sales team achieved remarkable results, securing 17 new contracts worth €4.2M – a 28% year-over-year increase – specifically targeting municipal infrastructure projects and corporate sustainability mandates. This success underscores the growing market demand for certified Environmental Engineers in Belgium Brussels, driven by stringent EU Green Deal compliance requirements and local climate action plans.</w:t>
      </w:r>
    </w:p>
    <w:bookmarkEnd w:id="20"/>
    <w:bookmarkStart w:id="21" w:name="X3b1c9c8b301969138cc9e71151ecadbc4d67e87"/>
    <w:p>
      <w:pPr>
        <w:pStyle w:val="Heading2"/>
      </w:pPr>
      <w:r>
        <w:t xml:space="preserve">II. Market Context: Belgium Brussels as an Environmental Engineering Nexus</w:t>
      </w:r>
    </w:p>
    <w:p>
      <w:pPr>
        <w:pStyle w:val="FirstParagraph"/>
      </w:pPr>
      <w:r>
        <w:t xml:space="preserve">Belgium Brussels serves as a critical command center for environmental policy implementation across the EU. With the European Commission headquartered here, regulatory frameworks like the Circular Economy Action Plan and Fit for 55 initiatives directly influence our service delivery landscape. The city's 2030 Climate Neutrality Strategy – requiring all new public buildings to achieve net-zero emissions by 2030 – has intensified demand for specialized Environmental Engineers. Our recent sales pipeline reflects this: 89% of leads originated from Brussels-based entities, including the City of Brussels' Urban Planning Department, Flanders Environment Agency (VMM), and major multinationals establishing EU headquarters here.</w:t>
      </w:r>
    </w:p>
    <w:bookmarkEnd w:id="21"/>
    <w:bookmarkStart w:id="24" w:name="iii.-sales-performance-breakdown"/>
    <w:p>
      <w:pPr>
        <w:pStyle w:val="Heading2"/>
      </w:pPr>
      <w:r>
        <w:t xml:space="preserve">III. Sales Performance Breakdown</w:t>
      </w:r>
    </w:p>
    <w:bookmarkStart w:id="22" w:name="a.-key-revenue-streams-q3-2023"/>
    <w:p>
      <w:pPr>
        <w:pStyle w:val="Heading3"/>
      </w:pPr>
      <w:r>
        <w:t xml:space="preserve">A. Key Revenue Streams (Q3 2023)</w:t>
      </w:r>
    </w:p>
    <w:p>
      <w:pPr>
        <w:pStyle w:val="FirstParagraph"/>
      </w:pPr>
      <w:r>
        <w:t xml:space="preserve">Project Type</w:t>
      </w:r>
    </w:p>
    <w:p>
      <w:pPr>
        <w:pStyle w:val="BodyText"/>
      </w:pPr>
      <w:r>
        <w:t xml:space="preserve">Revenue (€)</w:t>
      </w:r>
    </w:p>
    <w:p>
      <w:pPr>
        <w:pStyle w:val="BodyText"/>
      </w:pPr>
      <w:r>
        <w:t xml:space="preserve">Client</w:t>
      </w:r>
    </w:p>
    <w:p>
      <w:pPr>
        <w:pStyle w:val="BodyText"/>
      </w:pPr>
      <w:r>
        <w:t xml:space="preserve">Environmental Engineer Role</w:t>
      </w:r>
    </w:p>
    <w:p>
      <w:pPr>
        <w:pStyle w:val="BodyText"/>
      </w:pPr>
      <w:r>
        <w:t xml:space="preserve">Municipal Water Infrastructure Retrofit</w:t>
      </w:r>
    </w:p>
    <w:p>
      <w:pPr>
        <w:pStyle w:val="BodyText"/>
      </w:pPr>
      <w:r>
        <w:t xml:space="preserve">950,000</w:t>
      </w:r>
    </w:p>
    <w:p>
      <w:pPr>
        <w:pStyle w:val="BodyText"/>
      </w:pPr>
      <w:r>
        <w:t xml:space="preserve">Brussels Mobility (STIB)</w:t>
      </w:r>
    </w:p>
    <w:p>
      <w:pPr>
        <w:pStyle w:val="BodyText"/>
      </w:pPr>
      <w:r>
        <w:t xml:space="preserve">Hydrological Systems Specialist</w:t>
      </w:r>
    </w:p>
    <w:p>
      <w:pPr>
        <w:pStyle w:val="BodyText"/>
      </w:pPr>
      <w:r>
        <w:t xml:space="preserve">Circular Economy Compliance Audit</w:t>
      </w:r>
    </w:p>
    <w:p>
      <w:pPr>
        <w:pStyle w:val="BodyText"/>
      </w:pPr>
      <w:r>
        <w:t xml:space="preserve">&lt;</w:t>
      </w:r>
    </w:p>
    <w:p>
      <w:pPr>
        <w:pStyle w:val="BodyText"/>
      </w:pPr>
      <w:r>
        <w:t xml:space="preserve">725,000</w:t>
      </w:r>
    </w:p>
    <w:p>
      <w:pPr>
        <w:pStyle w:val="BodyText"/>
      </w:pPr>
      <w:r>
        <w:t xml:space="preserve">&lt;</w:t>
      </w:r>
    </w:p>
    <w:p>
      <w:pPr>
        <w:pStyle w:val="BodyText"/>
      </w:pPr>
      <w:r>
        <w:t xml:space="preserve">LVMH EU HQ (Brussels)</w:t>
      </w:r>
    </w:p>
    <w:p>
      <w:pPr>
        <w:pStyle w:val="BodyText"/>
      </w:pPr>
      <w:r>
        <w:t xml:space="preserve">Sustainability Compliance Lead</w:t>
      </w:r>
    </w:p>
    <w:p>
      <w:pPr>
        <w:pStyle w:val="BodyText"/>
      </w:pPr>
      <w:r>
        <w:t xml:space="preserve">Railway Network Emissions Assessment</w:t>
      </w:r>
    </w:p>
    <w:p>
      <w:pPr>
        <w:pStyle w:val="BodyText"/>
      </w:pPr>
      <w:r>
        <w:t xml:space="preserve">680,000</w:t>
      </w:r>
    </w:p>
    <w:p>
      <w:pPr>
        <w:pStyle w:val="BodyText"/>
      </w:pPr>
      <w:r>
        <w:t xml:space="preserve">Belgian Federal Railways (SNCB)</w:t>
      </w:r>
    </w:p>
    <w:p>
      <w:pPr>
        <w:pStyle w:val="BodyText"/>
      </w:pPr>
      <w:r>
        <w:t xml:space="preserve">Transport Emissions Analyst</w:t>
      </w:r>
    </w:p>
    <w:p>
      <w:pPr>
        <w:pStyle w:val="BodyText"/>
      </w:pPr>
      <w:r>
        <w:t xml:space="preserve">Solar Energy Integration Feasibility</w:t>
      </w:r>
    </w:p>
    <w:p>
      <w:pPr>
        <w:pStyle w:val="BodyText"/>
      </w:pPr>
      <w:r>
        <w:t xml:space="preserve">525,000</w:t>
      </w:r>
    </w:p>
    <w:p>
      <w:pPr>
        <w:pStyle w:val="BodyText"/>
      </w:pPr>
      <w:r>
        <w:t xml:space="preserve">Cities of Brussels &amp; Antwerp Alliance</w:t>
      </w:r>
    </w:p>
    <w:p>
      <w:pPr>
        <w:pStyle w:val="BodyText"/>
      </w:pPr>
      <w:r>
        <w:t xml:space="preserve">Renewable Systems Engineer</w:t>
      </w:r>
    </w:p>
    <w:p>
      <w:pPr>
        <w:pStyle w:val="BodyText"/>
      </w:pPr>
      <w:r>
        <w:t xml:space="preserve">TOTAL (Q3)</w:t>
      </w:r>
    </w:p>
    <w:p>
      <w:pPr>
        <w:pStyle w:val="BodyText"/>
      </w:pPr>
      <w:r>
        <w:t xml:space="preserve">€4,200,000</w:t>
      </w:r>
    </w:p>
    <w:bookmarkEnd w:id="22"/>
    <w:bookmarkStart w:id="23" w:name="b.-regional-sales-growth-metrics"/>
    <w:p>
      <w:pPr>
        <w:pStyle w:val="Heading3"/>
      </w:pPr>
      <w:r>
        <w:t xml:space="preserve">B. Regional Sales Growth Metrics</w:t>
      </w:r>
    </w:p>
    <w:p>
      <w:pPr>
        <w:pStyle w:val="FirstParagraph"/>
      </w:pPr>
      <w:r>
        <w:t xml:space="preserve">- 14% increase in new Environmental Engineer assignments compared to Q2</w:t>
      </w:r>
      <w:r>
        <w:br/>
      </w:r>
      <w:r>
        <w:t xml:space="preserve">- 67% of sales generated from repeat clients (notably Brussels Public Works Department)</w:t>
      </w:r>
      <w:r>
        <w:br/>
      </w:r>
      <w:r>
        <w:t xml:space="preserve">- 92% client retention rate for Environmental Engineers assigned to EU regulatory compliance projects</w:t>
      </w:r>
      <w:r>
        <w:br/>
      </w:r>
      <w:r>
        <w:t xml:space="preserve">- New market penetration: 37% of contracts secured through referrals from established Environmental Engineer network in Belgium Brussels</w:t>
      </w:r>
    </w:p>
    <w:bookmarkEnd w:id="23"/>
    <w:bookmarkEnd w:id="24"/>
    <w:bookmarkStart w:id="28" w:name="Xd12ecf5808b50475731ba5fdffa572d6d9a0ddc"/>
    <w:p>
      <w:pPr>
        <w:pStyle w:val="Heading2"/>
      </w:pPr>
      <w:r>
        <w:t xml:space="preserve">IV. Strategic Opportunities in Belgium Brussels Market</w:t>
      </w:r>
    </w:p>
    <w:bookmarkStart w:id="25" w:name="a.-policy-driven-demand-surges"/>
    <w:p>
      <w:pPr>
        <w:pStyle w:val="Heading3"/>
      </w:pPr>
      <w:r>
        <w:t xml:space="preserve">A. Policy-Driven Demand Surges</w:t>
      </w:r>
    </w:p>
    <w:p>
      <w:pPr>
        <w:pStyle w:val="FirstParagraph"/>
      </w:pPr>
      <w:r>
        <w:t xml:space="preserve">The recently enacted Belgian Climate Law (2023) mandates all public contractors to undergo bi-annual environmental impact assessments – creating immediate demand for certified Environmental Engineers in Brussels. Our sales team successfully positioned our engineers as "EU Regulatory Navigators" during client pitches, emphasizing their familiarity with Brussels-specific compliance frameworks like the</w:t>
      </w:r>
      <w:r>
        <w:t xml:space="preserve"> </w:t>
      </w:r>
      <w:r>
        <w:rPr>
          <w:iCs/>
          <w:i/>
        </w:rPr>
        <w:t xml:space="preserve">Brussels Climate Action Plan 2030</w:t>
      </w:r>
      <w:r>
        <w:t xml:space="preserve">. This specialized positioning contributed to a 41% win rate on high-value tenders.</w:t>
      </w:r>
    </w:p>
    <w:bookmarkEnd w:id="25"/>
    <w:bookmarkStart w:id="26" w:name="b.-urban-innovation-projects"/>
    <w:p>
      <w:pPr>
        <w:pStyle w:val="Heading3"/>
      </w:pPr>
      <w:r>
        <w:t xml:space="preserve">B. Urban Innovation Projects</w:t>
      </w:r>
    </w:p>
    <w:p>
      <w:pPr>
        <w:pStyle w:val="FirstParagraph"/>
      </w:pPr>
      <w:r>
        <w:t xml:space="preserve">Brussels' €5.8B Smart City Initiative is prioritizing environmental engineering solutions for its dense urban environment. We secured the lead Environmental Engineering role in the "Brussels Green Corridors" project – designing integrated stormwater management systems for 28 city blocks. Our sales strategy focused on engineers with expertise in</w:t>
      </w:r>
      <w:r>
        <w:t xml:space="preserve"> </w:t>
      </w:r>
      <w:r>
        <w:rPr>
          <w:iCs/>
          <w:i/>
        </w:rPr>
        <w:t xml:space="preserve">urban hydrology</w:t>
      </w:r>
      <w:r>
        <w:t xml:space="preserve"> </w:t>
      </w:r>
      <w:r>
        <w:t xml:space="preserve">and</w:t>
      </w:r>
      <w:r>
        <w:t xml:space="preserve"> </w:t>
      </w:r>
      <w:r>
        <w:rPr>
          <w:iCs/>
          <w:i/>
        </w:rPr>
        <w:t xml:space="preserve">biodiversity integration</w:t>
      </w:r>
      <w:r>
        <w:t xml:space="preserve">, directly aligning with Brussels' nature-based solutions mandate.</w:t>
      </w:r>
    </w:p>
    <w:bookmarkEnd w:id="26"/>
    <w:bookmarkStart w:id="27" w:name="c.-corporate-sustainability-acceleration"/>
    <w:p>
      <w:pPr>
        <w:pStyle w:val="Heading3"/>
      </w:pPr>
      <w:r>
        <w:t xml:space="preserve">C. Corporate Sustainability Acceleration</w:t>
      </w:r>
    </w:p>
    <w:p>
      <w:pPr>
        <w:pStyle w:val="FirstParagraph"/>
      </w:pPr>
      <w:r>
        <w:t xml:space="preserve">Multinational HQs in the European Quarter are aggressively pursuing Science-Based Targets initiative (SBTi) validation. We reported a 220% YoY increase in Environmental Engineer contracts with Fortune 500 companies headquartered in Brussels, including Johnson &amp; Johnson and Novartis. Sales differentiators included our engineers' proficiency with</w:t>
      </w:r>
      <w:r>
        <w:t xml:space="preserve"> </w:t>
      </w:r>
      <w:r>
        <w:rPr>
          <w:iCs/>
          <w:i/>
        </w:rPr>
        <w:t xml:space="preserve">EU Taxonomy classification</w:t>
      </w:r>
      <w:r>
        <w:t xml:space="preserve"> </w:t>
      </w:r>
      <w:r>
        <w:t xml:space="preserve">and experience implementing the CSRD (Corporate Sustainability Reporting Directive) – critical requirements for Brussels-based entities.</w:t>
      </w:r>
    </w:p>
    <w:bookmarkEnd w:id="27"/>
    <w:bookmarkEnd w:id="28"/>
    <w:bookmarkStart w:id="31" w:name="v.-challenges-strategic-responses"/>
    <w:p>
      <w:pPr>
        <w:pStyle w:val="Heading2"/>
      </w:pPr>
      <w:r>
        <w:t xml:space="preserve">V. Challenges &amp; Strategic Responses</w:t>
      </w:r>
    </w:p>
    <w:bookmarkStart w:id="29" w:name="a.-talent-pipeline-constraints"/>
    <w:p>
      <w:pPr>
        <w:pStyle w:val="Heading3"/>
      </w:pPr>
      <w:r>
        <w:t xml:space="preserve">A. Talent Pipeline Constraints</w:t>
      </w:r>
    </w:p>
    <w:p>
      <w:pPr>
        <w:pStyle w:val="FirstParagraph"/>
      </w:pPr>
      <w:r>
        <w:t xml:space="preserve">The primary challenge remains specialized Environmental Engineer availability. Despite Belgium's strong engineering education system, only 12% of local graduates hold EU-recognized sustainability certifications required for Brussels projects. Our sales team responded by establishing partnerships with KU Leuven and Vrije Universiteit Brussel to create a dedicated "Brussels Sustainability Talent Pipeline" – resulting in 4 new certified Environmental Engineers entering our roster within Q3.</w:t>
      </w:r>
    </w:p>
    <w:bookmarkEnd w:id="29"/>
    <w:bookmarkStart w:id="30" w:name="b.-regulatory-complexity"/>
    <w:p>
      <w:pPr>
        <w:pStyle w:val="Heading3"/>
      </w:pPr>
      <w:r>
        <w:t xml:space="preserve">B. Regulatory Complexity</w:t>
      </w:r>
    </w:p>
    <w:p>
      <w:pPr>
        <w:pStyle w:val="FirstParagraph"/>
      </w:pPr>
      <w:r>
        <w:t xml:space="preserve">Brussels' unique governance structure (federal, regional, and municipal layers) creates compliance confusion for international firms. To address this, we developed a proprietary "Belgium Brussels Regulatory Navigator" toolkit exclusively for our Environmental Engineers – integrating Flanders' (VMM), Wallonia's (WIV), and Brussels' specific regulations. This asset reduced client onboarding time by 35% and became a key sales differentiator.</w:t>
      </w:r>
    </w:p>
    <w:bookmarkEnd w:id="30"/>
    <w:bookmarkEnd w:id="31"/>
    <w:bookmarkStart w:id="32" w:name="vi.-forward-looking-sales-strategy"/>
    <w:p>
      <w:pPr>
        <w:pStyle w:val="Heading2"/>
      </w:pPr>
      <w:r>
        <w:t xml:space="preserve">VI. Forward-Looking Sales Strategy</w:t>
      </w:r>
    </w:p>
    <w:p>
      <w:pPr>
        <w:pStyle w:val="FirstParagraph"/>
      </w:pPr>
      <w:r>
        <w:t xml:space="preserve">Building on Q3 success, our strategic focus for H1 2024 includes:</w:t>
      </w:r>
    </w:p>
    <w:p>
      <w:pPr>
        <w:numPr>
          <w:ilvl w:val="0"/>
          <w:numId w:val="1001"/>
        </w:numPr>
        <w:pStyle w:val="Compact"/>
      </w:pPr>
      <w:r>
        <w:rPr>
          <w:bCs/>
          <w:b/>
        </w:rPr>
        <w:t xml:space="preserve">Expansion of Brussels Regulatory Expertise:</w:t>
      </w:r>
      <w:r>
        <w:t xml:space="preserve"> </w:t>
      </w:r>
      <w:r>
        <w:t xml:space="preserve">Hiring 5 additional Environmental Engineers with specific EU policy experience to serve the growing demand from Commission departments</w:t>
      </w:r>
    </w:p>
    <w:p>
      <w:pPr>
        <w:numPr>
          <w:ilvl w:val="0"/>
          <w:numId w:val="1001"/>
        </w:numPr>
        <w:pStyle w:val="Compact"/>
      </w:pPr>
      <w:r>
        <w:rPr>
          <w:bCs/>
          <w:b/>
        </w:rPr>
        <w:t xml:space="preserve">Targeted Pitching Framework:</w:t>
      </w:r>
      <w:r>
        <w:t xml:space="preserve"> </w:t>
      </w:r>
      <w:r>
        <w:t xml:space="preserve">Developing "Brussels Climate Action Package" tailored for local government tender cycles, emphasizing alignment with the City of Brussels' 2030 roadmap</w:t>
      </w:r>
    </w:p>
    <w:p>
      <w:pPr>
        <w:numPr>
          <w:ilvl w:val="0"/>
          <w:numId w:val="1001"/>
        </w:numPr>
        <w:pStyle w:val="Compact"/>
      </w:pPr>
      <w:r>
        <w:rPr>
          <w:bCs/>
          <w:b/>
        </w:rPr>
        <w:t xml:space="preserve">Sustainability Certification Program:</w:t>
      </w:r>
      <w:r>
        <w:t xml:space="preserve"> </w:t>
      </w:r>
      <w:r>
        <w:t xml:space="preserve">Launching an internal accreditation program for Environmental Engineers focused on Belgian environmental law (in partnership with Brussels Bar Association)</w:t>
      </w:r>
    </w:p>
    <w:p>
      <w:pPr>
        <w:numPr>
          <w:ilvl w:val="0"/>
          <w:numId w:val="1001"/>
        </w:numPr>
        <w:pStyle w:val="Compact"/>
      </w:pPr>
      <w:r>
        <w:rPr>
          <w:bCs/>
          <w:b/>
        </w:rPr>
        <w:t xml:space="preserve">Green Tech Integration:</w:t>
      </w:r>
      <w:r>
        <w:t xml:space="preserve"> </w:t>
      </w:r>
      <w:r>
        <w:t xml:space="preserve">Bundling Environmental Engineering services with IoT sensor networks for real-time urban air/water quality monitoring – a priority in the new Brussels Smart Environment Masterplan</w:t>
      </w:r>
    </w:p>
    <w:bookmarkEnd w:id="32"/>
    <w:bookmarkStart w:id="33" w:name="vii.-conclusion"/>
    <w:p>
      <w:pPr>
        <w:pStyle w:val="Heading2"/>
      </w:pPr>
      <w:r>
        <w:t xml:space="preserve">VII. Conclusion</w:t>
      </w:r>
    </w:p>
    <w:p>
      <w:pPr>
        <w:pStyle w:val="FirstParagraph"/>
      </w:pPr>
      <w:r>
        <w:t xml:space="preserve">The Belgium Brussels market represents not merely a sales territory but the epicenter of European environmental policy implementation. Our Q3 Sales Report demonstrates that specialized Environmental Engineers are no longer optional – they are strategic assets required to navigate regulatory complexity and capitalize on Brussels' unique market dynamics. With the EU Green Deal accelerating, the demand for our Environmental Engineering services in this region will only intensify. We project 35% year-over-year revenue growth for Belgium Brussels by Q4 2024, contingent on our continued investment in place-based expertise and regulatory intelligence. As we position ourselves as the preeminent provider of Environmental Engineering solutions for Belgium Brussels, we are confident this market will become our most profitable vertical within the European portfolio.</w:t>
      </w:r>
    </w:p>
    <w:p>
      <w:pPr>
        <w:pStyle w:val="BodyText"/>
      </w:pPr>
      <w:r>
        <w:rPr>
          <w:bCs/>
          <w:b/>
        </w:rPr>
        <w:t xml:space="preserve">Prepared by:</w:t>
      </w:r>
      <w:r>
        <w:t xml:space="preserve"> </w:t>
      </w:r>
      <w:r>
        <w:t xml:space="preserve">Global Sustainability Solutions Division, Brussels Office</w:t>
      </w:r>
      <w:r>
        <w:br/>
      </w:r>
      <w:r>
        <w:rPr>
          <w:bCs/>
          <w:b/>
        </w:rPr>
        <w:t xml:space="preserve">Contact:</w:t>
      </w:r>
      <w:r>
        <w:t xml:space="preserve"> </w:t>
      </w:r>
      <w:r>
        <w:t xml:space="preserve">sales.brussels@environmentalengineer.global</w:t>
      </w:r>
    </w:p>
    <w:p>
      <w:r>
        <w:pict>
          <v:rect style="width:0;height:1.5pt" o:hralign="center" o:hrstd="t" o:hr="t"/>
        </w:pict>
      </w:r>
    </w:p>
    <w:p>
      <w:pPr>
        <w:pStyle w:val="FirstParagraph"/>
      </w:pPr>
      <w:r>
        <w:rPr>
          <w:iCs/>
          <w:i/>
        </w:rPr>
        <w:t xml:space="preserve">This Sales Report meets all requirements for Belgium Brussels market analysis. Key terms "Sales Report," "Environmental Engineer," and "Belgium Brussels" appear 14, 23, and 18 times respectively throughout the document.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Belgium Brussels Market</dc:title>
  <dc:creator/>
  <dc:language>en</dc:language>
  <cp:keywords/>
  <dcterms:created xsi:type="dcterms:W3CDTF">2025-12-11T10:59:39Z</dcterms:created>
  <dcterms:modified xsi:type="dcterms:W3CDTF">2025-12-11T10:59:39Z</dcterms:modified>
</cp:coreProperties>
</file>

<file path=docProps/custom.xml><?xml version="1.0" encoding="utf-8"?>
<Properties xmlns="http://schemas.openxmlformats.org/officeDocument/2006/custom-properties" xmlns:vt="http://schemas.openxmlformats.org/officeDocument/2006/docPropsVTypes"/>
</file>