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Bogotá,</w:t>
      </w:r>
      <w:r>
        <w:t xml:space="preserve"> </w:t>
      </w:r>
      <w:r>
        <w:t xml:space="preserve">Colombia</w:t>
      </w:r>
    </w:p>
    <w:bookmarkStart w:id="29" w:name="X95a6c6416e2bc071e39c905a8624ac34cbb2393"/>
    <w:p>
      <w:pPr>
        <w:pStyle w:val="Heading1"/>
      </w:pPr>
      <w:r>
        <w:t xml:space="preserve">Annual Sales Performance Report: Environmental Engineering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Colombia Bogotá Regional Office</w:t>
      </w:r>
      <w:r>
        <w:br/>
      </w:r>
      <w:r>
        <w:rPr>
          <w:bCs/>
          <w:b/>
        </w:rPr>
        <w:t xml:space="preserve">Prepared By:</w:t>
      </w:r>
      <w:r>
        <w:t xml:space="preserve"> </w:t>
      </w:r>
      <w:r>
        <w:t xml:space="preserve">Sales and Business Development Department</w:t>
      </w:r>
    </w:p>
    <w:bookmarkStart w:id="20" w:name="i.-executive-summary"/>
    <w:p>
      <w:pPr>
        <w:pStyle w:val="Heading2"/>
      </w:pPr>
      <w:r>
        <w:t xml:space="preserve">I. Executive Summary</w:t>
      </w:r>
    </w:p>
    <w:p>
      <w:pPr>
        <w:pStyle w:val="FirstParagraph"/>
      </w:pPr>
      <w:r>
        <w:t xml:space="preserve">This comprehensive Sales Report details the performance of Environmental Engineering services across Colombia Bogotá for Q1-Q3 2023. The report demonstrates a 37% year-over-year growth in service contracts, with Bogotá emerging as the undisputed epicenter of environmental engineering demand in Colombia. Our strategic focus on sustainable infrastructure solutions has positioned us as the leading provider for municipal and corporate clients seeking certified Environmental Engineer expertise to address Bogotá's complex urban environmental challenges.</w:t>
      </w:r>
    </w:p>
    <w:bookmarkEnd w:id="20"/>
    <w:bookmarkStart w:id="22" w:name="Xcf98a5a36346a14146c8c215f18c2e860144c79"/>
    <w:p>
      <w:pPr>
        <w:pStyle w:val="Heading2"/>
      </w:pPr>
      <w:r>
        <w:t xml:space="preserve">II. Market Context: Colombia Bogotá's Environmental Imperative</w:t>
      </w:r>
    </w:p>
    <w:p>
      <w:pPr>
        <w:pStyle w:val="FirstParagraph"/>
      </w:pPr>
      <w:r>
        <w:t xml:space="preserve">Bogotá, Colombia's capital with 8 million residents and a rapidly expanding metropolitan footprint, faces critical environmental pressures including air pollution (ranking among Latin America's most polluted cities), water scarcity affecting 35% of households, and waste management challenges exceeding municipal capacity by 40%. The Colombian National Development Plan (2022-2026) prioritizes "Green Cities" initiatives, mandating all major urban centers—including Bogotá—to implement environmental engineering solutions. This regulatory landscape has created unprecedented demand for qualified Environmental Engineer professionals who understand Colombia's unique ecological context and municipal procurement frameworks.</w:t>
      </w:r>
    </w:p>
    <w:bookmarkStart w:id="21" w:name="key-market-drivers-in-colombia-bogotá"/>
    <w:p>
      <w:pPr>
        <w:pStyle w:val="Heading3"/>
      </w:pPr>
      <w:r>
        <w:t xml:space="preserve">Key Market Drivers in Colombia Bogotá:</w:t>
      </w:r>
    </w:p>
    <w:p>
      <w:pPr>
        <w:numPr>
          <w:ilvl w:val="0"/>
          <w:numId w:val="1001"/>
        </w:numPr>
        <w:pStyle w:val="Compact"/>
      </w:pPr>
      <w:r>
        <w:rPr>
          <w:bCs/>
          <w:b/>
        </w:rPr>
        <w:t xml:space="preserve">Regulatory Mandates:</w:t>
      </w:r>
      <w:r>
        <w:t xml:space="preserve"> </w:t>
      </w:r>
      <w:r>
        <w:t xml:space="preserve">Resolution 1802 of 2021 requiring all industrial facilities in Bogotá to implement Environmental Management Systems (EMS)</w:t>
      </w:r>
    </w:p>
    <w:p>
      <w:pPr>
        <w:numPr>
          <w:ilvl w:val="0"/>
          <w:numId w:val="1001"/>
        </w:numPr>
        <w:pStyle w:val="Compact"/>
      </w:pPr>
      <w:r>
        <w:rPr>
          <w:bCs/>
          <w:b/>
        </w:rPr>
        <w:t xml:space="preserve">Municipal Investments:</w:t>
      </w:r>
      <w:r>
        <w:t xml:space="preserve"> </w:t>
      </w:r>
      <w:r>
        <w:t xml:space="preserve">Bogotá's $5.8B "Green City Plan" allocating funds for wastewater treatment, renewable energy integration, and green infrastructure</w:t>
      </w:r>
    </w:p>
    <w:p>
      <w:pPr>
        <w:numPr>
          <w:ilvl w:val="0"/>
          <w:numId w:val="1001"/>
        </w:numPr>
        <w:pStyle w:val="Compact"/>
      </w:pPr>
      <w:r>
        <w:rPr>
          <w:bCs/>
          <w:b/>
        </w:rPr>
        <w:t xml:space="preserve">Cross-Sector Demand:</w:t>
      </w:r>
      <w:r>
        <w:t xml:space="preserve"> </w:t>
      </w:r>
      <w:r>
        <w:t xml:space="preserve">Construction firms (32% increase in ESG compliance requirements), manufacturing plants (14 new environmental audits), and tourism operators seeking certification</w:t>
      </w:r>
    </w:p>
    <w:bookmarkEnd w:id="21"/>
    <w:bookmarkEnd w:id="22"/>
    <w:bookmarkStart w:id="24" w:name="X69fcff9e6c8bdaaf50b2e2cad580439566c6130"/>
    <w:p>
      <w:pPr>
        <w:pStyle w:val="Heading2"/>
      </w:pPr>
      <w:r>
        <w:t xml:space="preserve">III. Sales Performance: Environmental Engineer Service Portfolio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Contracts</w:t>
            </w:r>
          </w:p>
        </w:tc>
        <w:tc>
          <w:tcPr/>
          <w:p>
            <w:pPr>
              <w:pStyle w:val="Compact"/>
              <w:jc w:val="left"/>
            </w:pPr>
            <w:r>
              <w:t xml:space="preserve">% Growth (YoY)</w:t>
            </w:r>
          </w:p>
        </w:tc>
        <w:tc>
          <w:tcPr/>
          <w:p>
            <w:pPr>
              <w:pStyle w:val="Compact"/>
              <w:jc w:val="left"/>
            </w:pPr>
            <w:r>
              <w:t xml:space="preserve">Key Clients in Colombia Bogotá</w:t>
            </w:r>
          </w:p>
        </w:tc>
      </w:tr>
      <w:tr>
        <w:tc>
          <w:tcPr/>
          <w:p>
            <w:pPr>
              <w:pStyle w:val="Compact"/>
              <w:jc w:val="left"/>
            </w:pPr>
            <w:r>
              <w:t xml:space="preserve">Municipal Environmental Audits</w:t>
            </w:r>
          </w:p>
        </w:tc>
        <w:tc>
          <w:tcPr/>
          <w:p>
            <w:pPr>
              <w:pStyle w:val="Compact"/>
              <w:jc w:val="left"/>
            </w:pPr>
            <w:r>
              <w:t xml:space="preserve">17</w:t>
            </w:r>
          </w:p>
        </w:tc>
        <w:tc>
          <w:tcPr/>
          <w:p>
            <w:pPr>
              <w:pStyle w:val="Compact"/>
              <w:jc w:val="left"/>
            </w:pPr>
            <w:r>
              <w:t xml:space="preserve">42%</w:t>
            </w:r>
          </w:p>
        </w:tc>
        <w:tc>
          <w:tcPr/>
          <w:p>
            <w:pPr>
              <w:pStyle w:val="Compact"/>
              <w:jc w:val="left"/>
            </w:pPr>
            <w:r>
              <w:t xml:space="preserve">Cundinamarca Department, Bogotá City Council, TransMilenio S.A.</w:t>
            </w:r>
          </w:p>
        </w:tc>
      </w:tr>
      <w:tr>
        <w:tc>
          <w:tcPr/>
          <w:p>
            <w:pPr>
              <w:pStyle w:val="Compact"/>
              <w:jc w:val="left"/>
            </w:pPr>
            <w:r>
              <w:t xml:space="preserve">Wastewater Treatment Systems Design</w:t>
            </w:r>
          </w:p>
        </w:tc>
        <w:tc>
          <w:tcPr/>
          <w:p>
            <w:pPr>
              <w:pStyle w:val="Compact"/>
              <w:jc w:val="left"/>
            </w:pPr>
            <w:r>
              <w:t xml:space="preserve">9</w:t>
            </w:r>
          </w:p>
        </w:tc>
        <w:tc>
          <w:tcPr/>
          <w:p>
            <w:pPr>
              <w:pStyle w:val="Compact"/>
              <w:jc w:val="left"/>
            </w:pPr>
            <w:r>
              <w:t xml:space="preserve">58%</w:t>
            </w:r>
          </w:p>
        </w:tc>
        <w:tc>
          <w:tcPr/>
          <w:p>
            <w:pPr>
              <w:pStyle w:val="Compact"/>
              <w:jc w:val="left"/>
            </w:pPr>
            <w:r>
              <w:t xml:space="preserve">Comfandi, EPM, EcoTec Colombia</w:t>
            </w:r>
          </w:p>
        </w:tc>
      </w:tr>
      <w:tr>
        <w:tc>
          <w:tcPr/>
          <w:p>
            <w:pPr>
              <w:pStyle w:val="Compact"/>
              <w:jc w:val="left"/>
            </w:pPr>
            <w:r>
              <w:t xml:space="preserve">Industrial Compliance Consulting</w:t>
            </w:r>
          </w:p>
        </w:tc>
        <w:tc>
          <w:tcPr/>
          <w:p>
            <w:pPr>
              <w:pStyle w:val="Compact"/>
              <w:jc w:val="left"/>
            </w:pPr>
            <w:r>
              <w:t xml:space="preserve">23</w:t>
            </w:r>
          </w:p>
        </w:tc>
        <w:tc>
          <w:tcPr/>
          <w:p>
            <w:pPr>
              <w:pStyle w:val="Compact"/>
              <w:jc w:val="left"/>
            </w:pPr>
            <w:r>
              <w:t xml:space="preserve">31%</w:t>
            </w:r>
          </w:p>
        </w:tc>
        <w:tc>
          <w:tcPr/>
          <w:p>
            <w:pPr>
              <w:pStyle w:val="Compact"/>
              <w:jc w:val="left"/>
            </w:pPr>
            <w:r>
              <w:t xml:space="preserve">Bayer Colombia, Cervecería Bavaria, Coltejer Group</w:t>
            </w:r>
          </w:p>
        </w:tc>
      </w:tr>
      <w:tr>
        <w:tc>
          <w:tcPr/>
          <w:p>
            <w:pPr>
              <w:pStyle w:val="Compact"/>
              <w:jc w:val="left"/>
            </w:pPr>
            <w:r>
              <w:t xml:space="preserve">Green Infrastructure Planning</w:t>
            </w:r>
          </w:p>
        </w:tc>
        <w:tc>
          <w:tcPr/>
          <w:p>
            <w:pPr>
              <w:pStyle w:val="Compact"/>
              <w:jc w:val="left"/>
            </w:pPr>
            <w:r>
              <w:t xml:space="preserve">12</w:t>
            </w:r>
          </w:p>
        </w:tc>
        <w:tc>
          <w:tcPr/>
          <w:p>
            <w:pPr>
              <w:pStyle w:val="Compact"/>
              <w:jc w:val="left"/>
            </w:pPr>
            <w:r>
              <w:t xml:space="preserve">63%</w:t>
            </w:r>
          </w:p>
        </w:tc>
        <w:tc>
          <w:tcPr/>
          <w:p>
            <w:pPr>
              <w:pStyle w:val="Compact"/>
              <w:jc w:val="left"/>
            </w:pPr>
            <w:r>
              <w:t xml:space="preserve">Bogotá's Secretaría de Ambiente, Parques Nacionales Naturales</w:t>
            </w:r>
          </w:p>
        </w:tc>
      </w:tr>
    </w:tbl>
    <w:bookmarkStart w:id="23" w:name="notable-achievements"/>
    <w:p>
      <w:pPr>
        <w:pStyle w:val="Heading3"/>
      </w:pPr>
      <w:r>
        <w:t xml:space="preserve">Notable Achievements:</w:t>
      </w:r>
    </w:p>
    <w:p>
      <w:pPr>
        <w:numPr>
          <w:ilvl w:val="0"/>
          <w:numId w:val="1002"/>
        </w:numPr>
        <w:pStyle w:val="Compact"/>
      </w:pPr>
      <w:r>
        <w:rPr>
          <w:bCs/>
          <w:b/>
        </w:rPr>
        <w:t xml:space="preserve">Record Contract Value:</w:t>
      </w:r>
      <w:r>
        <w:t xml:space="preserve"> </w:t>
      </w:r>
      <w:r>
        <w:t xml:space="preserve">Secured $2.1M contract with Bogotá City Council for the "Calle 80 Wastewater Modernization Project" – largest Environmental Engineer service deal in Colombia Bogotá history</w:t>
      </w:r>
    </w:p>
    <w:p>
      <w:pPr>
        <w:numPr>
          <w:ilvl w:val="0"/>
          <w:numId w:val="1002"/>
        </w:numPr>
        <w:pStyle w:val="Compact"/>
      </w:pPr>
      <w:r>
        <w:rPr>
          <w:bCs/>
          <w:b/>
        </w:rPr>
        <w:t xml:space="preserve">Certification Milestone:</w:t>
      </w:r>
      <w:r>
        <w:t xml:space="preserve"> </w:t>
      </w:r>
      <w:r>
        <w:t xml:space="preserve">All 47 Environmental Engineer consultants in Bogotá now hold ISO 14001 certification (vs. 32% industry average)</w:t>
      </w:r>
    </w:p>
    <w:p>
      <w:pPr>
        <w:numPr>
          <w:ilvl w:val="0"/>
          <w:numId w:val="1002"/>
        </w:numPr>
        <w:pStyle w:val="Compact"/>
      </w:pPr>
      <w:r>
        <w:rPr>
          <w:bCs/>
          <w:b/>
        </w:rPr>
        <w:t xml:space="preserve">Client Retention:</w:t>
      </w:r>
      <w:r>
        <w:t xml:space="preserve"> </w:t>
      </w:r>
      <w:r>
        <w:t xml:space="preserve">89% of municipal clients renewed contracts for environmental services, exceeding regional average by 27%</w:t>
      </w:r>
    </w:p>
    <w:bookmarkEnd w:id="23"/>
    <w:bookmarkEnd w:id="24"/>
    <w:bookmarkStart w:id="25" w:name="iv.-competitive-landscape-analysis"/>
    <w:p>
      <w:pPr>
        <w:pStyle w:val="Heading2"/>
      </w:pPr>
      <w:r>
        <w:t xml:space="preserve">IV. Competitive Landscape Analysis</w:t>
      </w:r>
    </w:p>
    <w:p>
      <w:pPr>
        <w:pStyle w:val="FirstParagraph"/>
      </w:pPr>
      <w:r>
        <w:t xml:space="preserve">In Colombia Bogotá, the environmental engineering market is highly competitive but strategically fragmented. Key competitors include:</w:t>
      </w:r>
    </w:p>
    <w:p>
      <w:pPr>
        <w:pStyle w:val="BodyText"/>
      </w:pPr>
      <w:r>
        <w:t xml:space="preserve">Competitor</w:t>
      </w:r>
    </w:p>
    <w:p>
      <w:pPr>
        <w:pStyle w:val="BodyText"/>
      </w:pPr>
      <w:r>
        <w:t xml:space="preserve">Market Share (Bogotá)</w:t>
      </w:r>
    </w:p>
    <w:p>
      <w:pPr>
        <w:pStyle w:val="BodyText"/>
      </w:pPr>
      <w:r>
        <w:t xml:space="preserve">Primary Weakness</w:t>
      </w:r>
    </w:p>
    <w:p>
      <w:pPr>
        <w:pStyle w:val="BodyText"/>
      </w:pPr>
      <w:r>
        <w:t xml:space="preserve">Gestión Ambiental S.A.</w:t>
      </w:r>
    </w:p>
    <w:p>
      <w:pPr>
        <w:pStyle w:val="BodyText"/>
      </w:pPr>
      <w:r>
        <w:t xml:space="preserve">28%</w:t>
      </w:r>
    </w:p>
    <w:p>
      <w:pPr>
        <w:pStyle w:val="BodyText"/>
      </w:pPr>
      <w:r>
        <w:t xml:space="preserve">Limited municipal procurement experience</w:t>
      </w:r>
    </w:p>
    <w:p>
      <w:pPr>
        <w:pStyle w:val="BodyText"/>
      </w:pPr>
      <w:r>
        <w:t xml:space="preserve">Ingeniería Verde Colombia</w:t>
      </w:r>
    </w:p>
    <w:p>
      <w:pPr>
        <w:pStyle w:val="BodyText"/>
      </w:pPr>
      <w:r>
        <w:t xml:space="preserve">21%</w:t>
      </w:r>
    </w:p>
    <w:p>
      <w:pPr>
        <w:pStyle w:val="BodyText"/>
      </w:pPr>
      <w:r>
        <w:t xml:space="preserve">Over-reliance on industrial clients (75% vs. our 52%)</w:t>
      </w:r>
    </w:p>
    <w:p>
      <w:pPr>
        <w:pStyle w:val="BodyText"/>
      </w:pPr>
      <w:r>
        <w:rPr>
          <w:bCs/>
          <w:b/>
        </w:rPr>
        <w:t xml:space="preserve">Ourselves</w:t>
      </w:r>
    </w:p>
    <w:p>
      <w:pPr>
        <w:pStyle w:val="BodyText"/>
      </w:pPr>
      <w:r>
        <w:rPr>
          <w:bCs/>
          <w:b/>
        </w:rPr>
        <w:t xml:space="preserve">34%</w:t>
      </w:r>
    </w:p>
    <w:p>
      <w:pPr>
        <w:pStyle w:val="BodyText"/>
      </w:pPr>
      <w:r>
        <w:t xml:space="preserve">Comprehensive municipal + industrial portfolio</w:t>
      </w:r>
    </w:p>
    <w:p>
      <w:pPr>
        <w:pStyle w:val="BodyText"/>
      </w:pPr>
      <w:r>
        <w:t xml:space="preserve">Our competitive edge in Colombia Bogotá stems from two factors: (1) Our Environmental Engineer consultants' deep familiarity with Bogotá's unique geological conditions (Andean watershed systems, high-altitude air quality challenges), and (2) Established relationships with key regulatory bodies including the Ministry of Environment and Sustainable Development.</w:t>
      </w:r>
    </w:p>
    <w:bookmarkEnd w:id="25"/>
    <w:bookmarkStart w:id="26" w:name="v.-challenges-in-colombia-bogotá-market"/>
    <w:p>
      <w:pPr>
        <w:pStyle w:val="Heading2"/>
      </w:pPr>
      <w:r>
        <w:t xml:space="preserve">V. Challenges in Colombia Bogotá Market</w:t>
      </w:r>
    </w:p>
    <w:p>
      <w:pPr>
        <w:pStyle w:val="FirstParagraph"/>
      </w:pPr>
      <w:r>
        <w:t xml:space="preserve">Despite strong performance, we face significant hurdles specific to Colombia Bogotá:</w:t>
      </w:r>
    </w:p>
    <w:p>
      <w:pPr>
        <w:numPr>
          <w:ilvl w:val="0"/>
          <w:numId w:val="1003"/>
        </w:numPr>
        <w:pStyle w:val="Compact"/>
      </w:pPr>
      <w:r>
        <w:rPr>
          <w:bCs/>
          <w:b/>
        </w:rPr>
        <w:t xml:space="preserve">Regulatory Complexity:</w:t>
      </w:r>
      <w:r>
        <w:t xml:space="preserve"> </w:t>
      </w:r>
      <w:r>
        <w:t xml:space="preserve">Navigating 14 overlapping municipal and national environmental regulations requires specialized Environmental Engineer expertise that takes 18+ months to master</w:t>
      </w:r>
    </w:p>
    <w:p>
      <w:pPr>
        <w:numPr>
          <w:ilvl w:val="0"/>
          <w:numId w:val="1003"/>
        </w:numPr>
        <w:pStyle w:val="Compact"/>
      </w:pPr>
      <w:r>
        <w:rPr>
          <w:bCs/>
          <w:b/>
        </w:rPr>
        <w:t xml:space="preserve">Talent Shortage:</w:t>
      </w:r>
      <w:r>
        <w:t xml:space="preserve"> </w:t>
      </w:r>
      <w:r>
        <w:t xml:space="preserve">Only 2,300 certified Environmental Engineers exist in all of Colombia; Bogotá claims 68% of this talent pool, creating fierce competition for hiring</w:t>
      </w:r>
    </w:p>
    <w:p>
      <w:pPr>
        <w:numPr>
          <w:ilvl w:val="0"/>
          <w:numId w:val="1003"/>
        </w:numPr>
        <w:pStyle w:val="Compact"/>
      </w:pPr>
      <w:r>
        <w:rPr>
          <w:bCs/>
          <w:b/>
        </w:rPr>
        <w:t xml:space="preserve">Client Budget Constraints:</w:t>
      </w:r>
      <w:r>
        <w:t xml:space="preserve"> </w:t>
      </w:r>
      <w:r>
        <w:t xml:space="preserve">Municipal procurement cycles delayed by average 4.7 months (vs. national average 2.9 months), causing cash flow pressures</w:t>
      </w:r>
    </w:p>
    <w:bookmarkEnd w:id="26"/>
    <w:bookmarkStart w:id="27" w:name="Xbfaefca51651c16563b935c92935dafc988b2df"/>
    <w:p>
      <w:pPr>
        <w:pStyle w:val="Heading2"/>
      </w:pPr>
      <w:r>
        <w:t xml:space="preserve">VI. Strategic Opportunities in Colombia Bogotá</w:t>
      </w:r>
    </w:p>
    <w:p>
      <w:pPr>
        <w:pStyle w:val="FirstParagraph"/>
      </w:pPr>
      <w:r>
        <w:t xml:space="preserve">The evolving environmental regulatory landscape presents three high-potential growth vectors:</w:t>
      </w:r>
    </w:p>
    <w:p>
      <w:pPr>
        <w:numPr>
          <w:ilvl w:val="0"/>
          <w:numId w:val="1004"/>
        </w:numPr>
        <w:pStyle w:val="Compact"/>
      </w:pPr>
      <w:r>
        <w:rPr>
          <w:bCs/>
          <w:b/>
        </w:rPr>
        <w:t xml:space="preserve">Carbon Credit Development:</w:t>
      </w:r>
      <w:r>
        <w:t xml:space="preserve"> </w:t>
      </w:r>
      <w:r>
        <w:t xml:space="preserve">Bogotá's new Carbon Market Law (Law 2163/2021) creates $45M market opportunity for Environmental Engineer firms certified in methodology development</w:t>
      </w:r>
    </w:p>
    <w:p>
      <w:pPr>
        <w:numPr>
          <w:ilvl w:val="0"/>
          <w:numId w:val="1004"/>
        </w:numPr>
        <w:pStyle w:val="Compact"/>
      </w:pPr>
      <w:r>
        <w:rPr>
          <w:bCs/>
          <w:b/>
        </w:rPr>
        <w:t xml:space="preserve">Sustainable Mobility Integration:</w:t>
      </w:r>
      <w:r>
        <w:t xml:space="preserve"> </w:t>
      </w:r>
      <w:r>
        <w:t xml:space="preserve">City Council's "Bogotá Verde" initiative requires environmental engineering for 37 new electric bus routes and charging infrastructure</w:t>
      </w:r>
    </w:p>
    <w:p>
      <w:pPr>
        <w:numPr>
          <w:ilvl w:val="0"/>
          <w:numId w:val="1004"/>
        </w:numPr>
        <w:pStyle w:val="Compact"/>
      </w:pPr>
      <w:r>
        <w:rPr>
          <w:bCs/>
          <w:b/>
        </w:rPr>
        <w:t xml:space="preserve">Resilience Planning:</w:t>
      </w:r>
      <w:r>
        <w:t xml:space="preserve"> </w:t>
      </w:r>
      <w:r>
        <w:t xml:space="preserve">Post-flood emergency response funding ($82M allocated) demands Environmental Engineer expertise in watershed management (critical for Colombia Bogotá's 45% flood risk areas)</w:t>
      </w:r>
    </w:p>
    <w:bookmarkEnd w:id="27"/>
    <w:bookmarkStart w:id="28" w:name="vii.-conclusion-and-strategic-outlook"/>
    <w:p>
      <w:pPr>
        <w:pStyle w:val="Heading2"/>
      </w:pPr>
      <w:r>
        <w:t xml:space="preserve">VII. Conclusion and Strategic Outlook</w:t>
      </w:r>
    </w:p>
    <w:p>
      <w:pPr>
        <w:pStyle w:val="FirstParagraph"/>
      </w:pPr>
      <w:r>
        <w:t xml:space="preserve">This Sales Report confirms that environmental engineering services are not merely a business opportunity but an essential public service within Colombia Bogotá. Our Environmental Engineer team has delivered exceptional results in addressing the city's most urgent ecological challenges, from reducing emissions at the Techo Power Plant to designing sustainable drainage for 12 new urban developments.</w:t>
      </w:r>
    </w:p>
    <w:p>
      <w:pPr>
        <w:pStyle w:val="BodyText"/>
      </w:pPr>
      <w:r>
        <w:t xml:space="preserve">Looking ahead to 2024, we project continued growth with a strategic focus on:</w:t>
      </w:r>
    </w:p>
    <w:p>
      <w:pPr>
        <w:numPr>
          <w:ilvl w:val="0"/>
          <w:numId w:val="1005"/>
        </w:numPr>
        <w:pStyle w:val="Compact"/>
      </w:pPr>
      <w:r>
        <w:t xml:space="preserve">Expanding our Environmental Engineer talent pipeline through partnerships with Universidad Nacional de Colombia and Politécnica Colombiana</w:t>
      </w:r>
    </w:p>
    <w:p>
      <w:pPr>
        <w:numPr>
          <w:ilvl w:val="0"/>
          <w:numId w:val="1005"/>
        </w:numPr>
        <w:pStyle w:val="Compact"/>
      </w:pPr>
      <w:r>
        <w:t xml:space="preserve">Developing proprietary software for Bogotá-specific environmental modeling (currently in beta testing)</w:t>
      </w:r>
    </w:p>
    <w:p>
      <w:pPr>
        <w:numPr>
          <w:ilvl w:val="0"/>
          <w:numId w:val="1005"/>
        </w:numPr>
        <w:pStyle w:val="Compact"/>
      </w:pPr>
      <w:r>
        <w:t xml:space="preserve">Pursuing the $120M "Bogotá Water Security Initiative" bid cycle beginning Q1 2024</w:t>
      </w:r>
    </w:p>
    <w:p>
      <w:pPr>
        <w:pStyle w:val="FirstParagraph"/>
      </w:pPr>
      <w:r>
        <w:t xml:space="preserve">As Colombia's largest city and economic engine, Bogotá demands environmental solutions that blend technical excellence with cultural understanding of Colombian urban life. Our Environmental Engineer professionals have proven they can deliver exactly this – transforming regulatory requirements into sustainable community outcomes. With the city's commitment to becoming a "100% Green Capital" by 2035, the long-term outlook for environmental engineering sales in Colombia Bogotá is exceptionally strong.</w:t>
      </w:r>
    </w:p>
    <w:p>
      <w:pPr>
        <w:pStyle w:val="BodyText"/>
      </w:pPr>
      <w:r>
        <w:rPr>
          <w:bCs/>
          <w:b/>
        </w:rPr>
        <w:t xml:space="preserve">Final Note:</w:t>
      </w:r>
      <w:r>
        <w:t xml:space="preserve"> </w:t>
      </w:r>
      <w:r>
        <w:t xml:space="preserve">This Sales Report underscores why investing in Environmental Engineer expertise is not just commercially strategic—it's essential for Colombia Bogotá's future resilience and quality of life. We remain confident that our team will continue to lead this vital sector through innovative, locally-adapted solutions.</w:t>
      </w:r>
    </w:p>
    <w:p>
      <w:pPr>
        <w:pStyle w:val="BodyText"/>
      </w:pPr>
      <w:r>
        <w:rPr>
          <w:iCs/>
          <w:i/>
        </w:rPr>
        <w:t xml:space="preserve">Prepared by: Global Sustainability Solutions - Colombia Bogotá Office</w:t>
      </w:r>
      <w:r>
        <w:br/>
      </w:r>
      <w:r>
        <w:rPr>
          <w:iCs/>
          <w:i/>
        </w:rPr>
        <w:t xml:space="preserve">Confidential: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Performance Report - Bogotá, Colombia</dc:title>
  <dc:creator/>
  <dc:language>en</dc:language>
  <cp:keywords/>
  <dcterms:created xsi:type="dcterms:W3CDTF">2025-12-09T16:03:57Z</dcterms:created>
  <dcterms:modified xsi:type="dcterms:W3CDTF">2025-12-09T16:03:57Z</dcterms:modified>
</cp:coreProperties>
</file>

<file path=docProps/custom.xml><?xml version="1.0" encoding="utf-8"?>
<Properties xmlns="http://schemas.openxmlformats.org/officeDocument/2006/custom-properties" xmlns:vt="http://schemas.openxmlformats.org/officeDocument/2006/docPropsVTypes"/>
</file>