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Performance</w:t>
      </w:r>
      <w:r>
        <w:t xml:space="preserve"> </w:t>
      </w:r>
      <w:r>
        <w:t xml:space="preserve">Report:</w:t>
      </w:r>
      <w:r>
        <w:t xml:space="preserve"> </w:t>
      </w:r>
      <w:r>
        <w:t xml:space="preserve">Colombia</w:t>
      </w:r>
      <w:r>
        <w:t xml:space="preserve"> </w:t>
      </w:r>
      <w:r>
        <w:t xml:space="preserve">Medellín</w:t>
      </w:r>
    </w:p>
    <w:bookmarkStart w:id="27" w:name="X4e3a2a9340248b4c3291f057d0ee16c7caae858"/>
    <w:p>
      <w:pPr>
        <w:pStyle w:val="Heading1"/>
      </w:pPr>
      <w:r>
        <w:t xml:space="preserve">Environmental Engineer Sales Performance Report: Driving Sustainable Growth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Purpose:</w:t>
      </w:r>
      <w:r>
        <w:t xml:space="preserve"> </w:t>
      </w:r>
      <w:r>
        <w:t xml:space="preserve">Quarterly Performance Analysis of Environmental Engineering Services in Medellín, Colombia</w:t>
      </w:r>
    </w:p>
    <w:bookmarkStart w:id="20" w:name="executive-summary"/>
    <w:p>
      <w:pPr>
        <w:pStyle w:val="Heading2"/>
      </w:pPr>
      <w:r>
        <w:t xml:space="preserve">1. Executive Summary</w:t>
      </w:r>
    </w:p>
    <w:p>
      <w:pPr>
        <w:pStyle w:val="FirstParagraph"/>
      </w:pPr>
      <w:r>
        <w:t xml:space="preserve">This report details the sales performance of our Environmental Engineering services across the dynamic urban landscape of Colombia Medellín during Q3 2023. As a leader in sustainable infrastructure solutions, our team of certified</w:t>
      </w:r>
      <w:r>
        <w:t xml:space="preserve"> </w:t>
      </w:r>
      <w:r>
        <w:rPr>
          <w:bCs/>
          <w:b/>
        </w:rPr>
        <w:t xml:space="preserve">Environmental Engineers</w:t>
      </w:r>
      <w:r>
        <w:t xml:space="preserve"> </w:t>
      </w:r>
      <w:r>
        <w:t xml:space="preserve">has secured 17 new contracts worth $1.85 million USD, exceeding quarterly targets by 14%. This growth directly supports Medellín’s ambitious "Medellín 2040" urban sustainability plan and Colombia’s national environmental commitments under Law 99 of 1993. The success underscores the critical demand for specialized</w:t>
      </w:r>
      <w:r>
        <w:t xml:space="preserve"> </w:t>
      </w:r>
      <w:r>
        <w:rPr>
          <w:bCs/>
          <w:b/>
        </w:rPr>
        <w:t xml:space="preserve">Environmental Engineer</w:t>
      </w:r>
      <w:r>
        <w:t xml:space="preserve"> </w:t>
      </w:r>
      <w:r>
        <w:t xml:space="preserve">expertise in addressing Medellín’s unique ecological challenges, including air quality management in the Aburrá Valley and watershed protection along the Río Medellín.</w:t>
      </w:r>
    </w:p>
    <w:bookmarkEnd w:id="20"/>
    <w:bookmarkStart w:id="21" w:name="X6be0ca80ce3891c661c58a83e9646f4a3fb234f"/>
    <w:p>
      <w:pPr>
        <w:pStyle w:val="Heading2"/>
      </w:pPr>
      <w:r>
        <w:t xml:space="preserve">2. Market Context: Colombia Medellín's Environmental Imperative</w:t>
      </w:r>
    </w:p>
    <w:p>
      <w:pPr>
        <w:pStyle w:val="FirstParagraph"/>
      </w:pPr>
      <w:r>
        <w:t xml:space="preserve">Medellín, Colombia’s second-largest city and a global model for urban innovation, faces acute environmental pressures from rapid urbanization and industrial activity. With 14% of its population living in informal settlements vulnerable to flooding (World Bank, 2023), the city has prioritized green infrastructure through initiatives like "Green Corridors" and the Parque Arví ecological reserve expansion. This context creates a $42M annual market for Environmental Engineering services in Medellín alone, driven by:</w:t>
      </w:r>
    </w:p>
    <w:p>
      <w:pPr>
        <w:numPr>
          <w:ilvl w:val="0"/>
          <w:numId w:val="1001"/>
        </w:numPr>
        <w:pStyle w:val="Compact"/>
      </w:pPr>
      <w:r>
        <w:rPr>
          <w:bCs/>
          <w:b/>
        </w:rPr>
        <w:t xml:space="preserve">Municipal Regulations:</w:t>
      </w:r>
      <w:r>
        <w:t xml:space="preserve"> </w:t>
      </w:r>
      <w:r>
        <w:t xml:space="preserve">Law 165 of 2019 mandates environmental impact assessments (EIAs) for all new infrastructure projects.</w:t>
      </w:r>
    </w:p>
    <w:p>
      <w:pPr>
        <w:numPr>
          <w:ilvl w:val="0"/>
          <w:numId w:val="1001"/>
        </w:numPr>
        <w:pStyle w:val="Compact"/>
      </w:pPr>
      <w:r>
        <w:rPr>
          <w:bCs/>
          <w:b/>
        </w:rPr>
        <w:t xml:space="preserve">Climate Vulnerability:</w:t>
      </w:r>
      <w:r>
        <w:t xml:space="preserve"> </w:t>
      </w:r>
      <w:r>
        <w:t xml:space="preserve">Rising temperatures and extreme rainfall necessitate stormwater management solutions.</w:t>
      </w:r>
    </w:p>
    <w:p>
      <w:pPr>
        <w:numPr>
          <w:ilvl w:val="0"/>
          <w:numId w:val="1001"/>
        </w:numPr>
        <w:pStyle w:val="Compact"/>
      </w:pPr>
      <w:r>
        <w:rPr>
          <w:bCs/>
          <w:b/>
        </w:rPr>
        <w:t xml:space="preserve">Citizen Demand:</w:t>
      </w:r>
      <w:r>
        <w:t xml:space="preserve"> </w:t>
      </w:r>
      <w:r>
        <w:t xml:space="preserve">Over 78% of Medellín residents prioritize air quality in city planning (Cámara de Comercio de Medellín Survey, Q2 2023).</w:t>
      </w:r>
    </w:p>
    <w:p>
      <w:pPr>
        <w:pStyle w:val="FirstParagraph"/>
      </w:pPr>
      <w:r>
        <w:t xml:space="preserve">Our</w:t>
      </w:r>
      <w:r>
        <w:t xml:space="preserve"> </w:t>
      </w:r>
      <w:r>
        <w:rPr>
          <w:bCs/>
          <w:b/>
        </w:rPr>
        <w:t xml:space="preserve">Environmental Engineer</w:t>
      </w:r>
      <w:r>
        <w:t xml:space="preserve"> </w:t>
      </w:r>
      <w:r>
        <w:t xml:space="preserve">team has positioned itself as the partner of choice by aligning technical solutions with these community-driven priorities.</w:t>
      </w:r>
    </w:p>
    <w:bookmarkEnd w:id="21"/>
    <w:bookmarkStart w:id="22" w:name="sales-performance-highlights-q3-2023"/>
    <w:p>
      <w:pPr>
        <w:pStyle w:val="Heading2"/>
      </w:pPr>
      <w:r>
        <w:t xml:space="preserve">3. Sales Performance Highlights (Q3 2023)</w:t>
      </w:r>
    </w:p>
    <w:p>
      <w:pPr>
        <w:pStyle w:val="FirstParagraph"/>
      </w:pPr>
      <w:r>
        <w:t xml:space="preserve">Project Category</w:t>
      </w:r>
    </w:p>
    <w:p>
      <w:pPr>
        <w:pStyle w:val="BodyText"/>
      </w:pPr>
      <w:r>
        <w:t xml:space="preserve">Number of Contracts</w:t>
      </w:r>
    </w:p>
    <w:p>
      <w:pPr>
        <w:pStyle w:val="BodyText"/>
      </w:pPr>
      <w:r>
        <w:t xml:space="preserve">Total Value (USD)</w:t>
      </w:r>
    </w:p>
    <w:p>
      <w:pPr>
        <w:pStyle w:val="BodyText"/>
      </w:pPr>
      <w:r>
        <w:t xml:space="preserve">Key Client</w:t>
      </w:r>
    </w:p>
    <w:p>
      <w:pPr>
        <w:pStyle w:val="BodyText"/>
      </w:pPr>
      <w:r>
        <w:t xml:space="preserve">Air Quality Monitoring Networks</w:t>
      </w:r>
    </w:p>
    <w:p>
      <w:pPr>
        <w:pStyle w:val="BodyText"/>
      </w:pPr>
      <w:r>
        <w:t xml:space="preserve">4</w:t>
      </w:r>
    </w:p>
    <w:p>
      <w:pPr>
        <w:pStyle w:val="BodyText"/>
      </w:pPr>
      <w:r>
        <w:t xml:space="preserve">$420,000</w:t>
      </w:r>
    </w:p>
    <w:p>
      <w:pPr>
        <w:pStyle w:val="BodyText"/>
      </w:pPr>
      <w:r>
        <w:t xml:space="preserve">Municipalidad de Medellín (City Council)</w:t>
      </w:r>
    </w:p>
    <w:p>
      <w:pPr>
        <w:pStyle w:val="BodyText"/>
      </w:pPr>
      <w:r>
        <w:t xml:space="preserve">Wastewater Treatment Upgrades</w:t>
      </w:r>
    </w:p>
    <w:p>
      <w:pPr>
        <w:pStyle w:val="BodyText"/>
      </w:pPr>
      <w:r>
        <w:t xml:space="preserve">5</w:t>
      </w:r>
    </w:p>
    <w:p>
      <w:pPr>
        <w:pStyle w:val="BodyText"/>
      </w:pPr>
      <w:r>
        <w:t xml:space="preserve">Total:</w:t>
      </w:r>
    </w:p>
    <w:p>
      <w:pPr>
        <w:pStyle w:val="BodyText"/>
      </w:pPr>
      <w:r>
        <w:t xml:space="preserve">17 Contracts</w:t>
      </w:r>
    </w:p>
    <w:p>
      <w:pPr>
        <w:pStyle w:val="BodyText"/>
      </w:pPr>
      <w:r>
        <w:t xml:space="preserve">$1,850,000</w:t>
      </w:r>
    </w:p>
    <w:p>
      <w:pPr>
        <w:pStyle w:val="BodyText"/>
      </w:pPr>
      <w:r>
        <w:t xml:space="preserve">-</w:t>
      </w:r>
    </w:p>
    <w:p>
      <w:pPr>
        <w:pStyle w:val="BodyText"/>
      </w:pPr>
      <w:r>
        <w:t xml:space="preserve">Key sales differentiators in Colombia Medellín include:</w:t>
      </w:r>
    </w:p>
    <w:p>
      <w:pPr>
        <w:numPr>
          <w:ilvl w:val="0"/>
          <w:numId w:val="1002"/>
        </w:numPr>
        <w:pStyle w:val="Compact"/>
      </w:pPr>
      <w:r>
        <w:rPr>
          <w:bCs/>
          <w:b/>
        </w:rPr>
        <w:t xml:space="preserve">Cultural Intelligence:</w:t>
      </w:r>
      <w:r>
        <w:t xml:space="preserve"> </w:t>
      </w:r>
      <w:r>
        <w:t xml:space="preserve">Our engineers completed Spanish-language certifications in environmental regulations (e.g., Resolución 074 of 2021) to navigate Colombia’s complex permitting ecosystem.</w:t>
      </w:r>
    </w:p>
    <w:p>
      <w:pPr>
        <w:numPr>
          <w:ilvl w:val="0"/>
          <w:numId w:val="1002"/>
        </w:numPr>
        <w:pStyle w:val="Compact"/>
      </w:pPr>
      <w:r>
        <w:rPr>
          <w:bCs/>
          <w:b/>
        </w:rPr>
        <w:t xml:space="preserve">Local Partnership Strategy:</w:t>
      </w:r>
      <w:r>
        <w:t xml:space="preserve"> </w:t>
      </w:r>
      <w:r>
        <w:t xml:space="preserve">Collaborated with Universidad de Antioquia to co-develop the "Aburrá Valley Air Quality Model," enhancing credibility with municipal stakeholders.</w:t>
      </w:r>
    </w:p>
    <w:p>
      <w:pPr>
        <w:numPr>
          <w:ilvl w:val="0"/>
          <w:numId w:val="1002"/>
        </w:numPr>
        <w:pStyle w:val="Compact"/>
      </w:pPr>
      <w:r>
        <w:rPr>
          <w:bCs/>
          <w:b/>
        </w:rPr>
        <w:t xml:space="preserve">Solution-Driven Approach:</w:t>
      </w:r>
      <w:r>
        <w:t xml:space="preserve"> </w:t>
      </w:r>
      <w:r>
        <w:t xml:space="preserve">Replaced generic proposals with Medellín-specific case studies (e.g., retrofitting wastewater plants in Comuna 13) showing 22% cost savings vs. competitors.</w:t>
      </w:r>
    </w:p>
    <w:bookmarkEnd w:id="22"/>
    <w:bookmarkStart w:id="23" w:name="X2580a449e1096b69e54af40d98100a7969201c5"/>
    <w:p>
      <w:pPr>
        <w:pStyle w:val="Heading2"/>
      </w:pPr>
      <w:r>
        <w:t xml:space="preserve">4. Flagship Project Spotlight: Río Medellín Watershed Protection</w:t>
      </w:r>
    </w:p>
    <w:p>
      <w:pPr>
        <w:pStyle w:val="FirstParagraph"/>
      </w:pPr>
      <w:r>
        <w:t xml:space="preserve">One of our largest contracts, valued at $650,000 USD, involved designing a reforestation strategy for 12km of the Río Medellín basin—critical for safeguarding water sources serving 3.8 million residents. Our team of Environmental Engineers conducted:</w:t>
      </w:r>
    </w:p>
    <w:p>
      <w:pPr>
        <w:numPr>
          <w:ilvl w:val="0"/>
          <w:numId w:val="1003"/>
        </w:numPr>
        <w:pStyle w:val="Compact"/>
      </w:pPr>
      <w:r>
        <w:t xml:space="preserve">Soil erosion risk mapping using Colombian National Geographic Institute (IGN) satellite data.</w:t>
      </w:r>
    </w:p>
    <w:p>
      <w:pPr>
        <w:numPr>
          <w:ilvl w:val="0"/>
          <w:numId w:val="1003"/>
        </w:numPr>
        <w:pStyle w:val="Compact"/>
      </w:pPr>
      <w:r>
        <w:t xml:space="preserve">Community consultations with Afro-Colombian and Indigenous groups in the river basin (per Colombia’s Constitutional Court ruling 360/2015).</w:t>
      </w:r>
    </w:p>
    <w:p>
      <w:pPr>
        <w:numPr>
          <w:ilvl w:val="0"/>
          <w:numId w:val="1003"/>
        </w:numPr>
        <w:pStyle w:val="Compact"/>
      </w:pPr>
      <w:r>
        <w:t xml:space="preserve">A sustainable drainage system that integrates native species like "Guayacán" trees, reducing flood risks by 37%.</w:t>
      </w:r>
    </w:p>
    <w:p>
      <w:pPr>
        <w:pStyle w:val="FirstParagraph"/>
      </w:pPr>
      <w:r>
        <w:t xml:space="preserve">This project exemplifies how our</w:t>
      </w:r>
      <w:r>
        <w:t xml:space="preserve"> </w:t>
      </w:r>
      <w:r>
        <w:rPr>
          <w:bCs/>
          <w:b/>
        </w:rPr>
        <w:t xml:space="preserve">Environmental Engineer</w:t>
      </w:r>
      <w:r>
        <w:t xml:space="preserve"> </w:t>
      </w:r>
      <w:r>
        <w:t xml:space="preserve">expertise delivers both ecological value and measurable ROI—securing a 2-year renewal option with the city for $210,000 USD.</w:t>
      </w:r>
    </w:p>
    <w:bookmarkEnd w:id="23"/>
    <w:bookmarkStart w:id="24" w:name="X30494f75936a8695df17fd88e2ecf615792854d"/>
    <w:p>
      <w:pPr>
        <w:pStyle w:val="Heading2"/>
      </w:pPr>
      <w:r>
        <w:t xml:space="preserve">5. Challenges &amp; Strategic Adaptations in Colombia Medellín</w:t>
      </w:r>
    </w:p>
    <w:p>
      <w:pPr>
        <w:pStyle w:val="FirstParagraph"/>
      </w:pPr>
      <w:r>
        <w:t xml:space="preserve">Sales efforts faced unique hurdles requiring rapid adaptation:</w:t>
      </w:r>
    </w:p>
    <w:p>
      <w:pPr>
        <w:numPr>
          <w:ilvl w:val="0"/>
          <w:numId w:val="1004"/>
        </w:numPr>
        <w:pStyle w:val="Compact"/>
      </w:pPr>
      <w:r>
        <w:rPr>
          <w:bCs/>
          <w:b/>
        </w:rPr>
        <w:t xml:space="preserve">Regulatory Complexity:</w:t>
      </w:r>
      <w:r>
        <w:t xml:space="preserve"> </w:t>
      </w:r>
      <w:r>
        <w:t xml:space="preserve">Initial delays in obtaining environmental permits from the National Environmental Licensing Authority (ANLA). *Solution:* Our Environmental Engineers established a dedicated ANLA liaison role, cutting approval timelines by 52%.</w:t>
      </w:r>
    </w:p>
    <w:p>
      <w:pPr>
        <w:numPr>
          <w:ilvl w:val="0"/>
          <w:numId w:val="1004"/>
        </w:numPr>
        <w:pStyle w:val="Compact"/>
      </w:pPr>
      <w:r>
        <w:rPr>
          <w:bCs/>
          <w:b/>
        </w:rPr>
        <w:t xml:space="preserve">Community Engagement:</w:t>
      </w:r>
      <w:r>
        <w:t xml:space="preserve"> </w:t>
      </w:r>
      <w:r>
        <w:t xml:space="preserve">Resistance to land use changes in informal settlements. *Solution:* Co-created "Eco-Advisory Committees" with neighborhood leaders—resulting in 100% community buy-in for our Parque Arví expansion project.</w:t>
      </w:r>
    </w:p>
    <w:p>
      <w:pPr>
        <w:pStyle w:val="FirstParagraph"/>
      </w:pPr>
      <w:r>
        <w:t xml:space="preserve">These adaptations directly contributed to a 29% increase in repeat client retention among Medellín municipal agencies—a benchmark for Colombia’s environmental services sector.</w:t>
      </w:r>
    </w:p>
    <w:bookmarkEnd w:id="24"/>
    <w:bookmarkStart w:id="25" w:name="Xae6dd088a610f79f5dc4c06fe5e6c6be38fd1da"/>
    <w:p>
      <w:pPr>
        <w:pStyle w:val="Heading2"/>
      </w:pPr>
      <w:r>
        <w:t xml:space="preserve">6. Future Strategy: Scaling Impact in Colombia's Urban Core</w:t>
      </w:r>
    </w:p>
    <w:p>
      <w:pPr>
        <w:pStyle w:val="FirstParagraph"/>
      </w:pPr>
      <w:r>
        <w:t xml:space="preserve">Based on Q3 success, we’re prioritizing three growth pillars for 2024:</w:t>
      </w:r>
    </w:p>
    <w:p>
      <w:pPr>
        <w:numPr>
          <w:ilvl w:val="0"/>
          <w:numId w:val="1005"/>
        </w:numPr>
        <w:pStyle w:val="Compact"/>
      </w:pPr>
      <w:r>
        <w:rPr>
          <w:bCs/>
          <w:b/>
        </w:rPr>
        <w:t xml:space="preserve">Niche Specialization:</w:t>
      </w:r>
      <w:r>
        <w:t xml:space="preserve"> </w:t>
      </w:r>
      <w:r>
        <w:t xml:space="preserve">Launching a "Urban Heat Island Mitigation" service line targeting Medellín’s top 15 heat-vulnerable zones (per UN-Habitat data), projected to capture $950K in new revenue.</w:t>
      </w:r>
    </w:p>
    <w:p>
      <w:pPr>
        <w:numPr>
          <w:ilvl w:val="0"/>
          <w:numId w:val="1005"/>
        </w:numPr>
        <w:pStyle w:val="Compact"/>
      </w:pPr>
      <w:r>
        <w:rPr>
          <w:bCs/>
          <w:b/>
        </w:rPr>
        <w:t xml:space="preserve">Technology Integration:</w:t>
      </w:r>
      <w:r>
        <w:t xml:space="preserve"> </w:t>
      </w:r>
      <w:r>
        <w:t xml:space="preserve">Partnering with Medellín-based tech startup "EcoSensors" to deploy IoT air quality sensors across 20 neighborhoods—leveraging Colombia’s new digital infrastructure law (Law 1638 of 2014).</w:t>
      </w:r>
    </w:p>
    <w:p>
      <w:pPr>
        <w:numPr>
          <w:ilvl w:val="0"/>
          <w:numId w:val="1005"/>
        </w:numPr>
        <w:pStyle w:val="Compact"/>
      </w:pPr>
      <w:r>
        <w:rPr>
          <w:bCs/>
          <w:b/>
        </w:rPr>
        <w:t xml:space="preserve">Sustainability Certification:</w:t>
      </w:r>
      <w:r>
        <w:t xml:space="preserve"> </w:t>
      </w:r>
      <w:r>
        <w:t xml:space="preserve">Training all Environmental Engineers in ISO 14001:2015 for Colombian market alignment, expected to increase contract win rates by 35%.</w:t>
      </w:r>
    </w:p>
    <w:bookmarkEnd w:id="25"/>
    <w:bookmarkStart w:id="26" w:name="conclusion"/>
    <w:p>
      <w:pPr>
        <w:pStyle w:val="Heading2"/>
      </w:pPr>
      <w:r>
        <w:t xml:space="preserve">7. Conclusion</w:t>
      </w:r>
    </w:p>
    <w:p>
      <w:pPr>
        <w:pStyle w:val="FirstParagraph"/>
      </w:pPr>
      <w:r>
        <w:t xml:space="preserve">The Q3 performance demonstrates that specialized Environmental Engineering services are not merely a commodity in Colombia Medellín—they are the catalyst for achieving tangible sustainability outcomes. By embedding our</w:t>
      </w:r>
      <w:r>
        <w:t xml:space="preserve"> </w:t>
      </w:r>
      <w:r>
        <w:rPr>
          <w:bCs/>
          <w:b/>
        </w:rPr>
        <w:t xml:space="preserve">Environmental Engineer</w:t>
      </w:r>
      <w:r>
        <w:t xml:space="preserve"> </w:t>
      </w:r>
      <w:r>
        <w:t xml:space="preserve">teams within Medellín’s civic infrastructure and addressing hyper-local challenges (from air quality to watershed security), we’ve transformed service delivery into strategic value creation. As Medellín accelerates its transition toward a carbon-neutral city, the demand for our expertise will only intensify. We project 20% YoY growth in Colombia Medellín by Q4 2024, positioning us as the indispensable partner in Colombia’s environmental future.</w:t>
      </w:r>
    </w:p>
    <w:p>
      <w:pPr>
        <w:pStyle w:val="BodyText"/>
      </w:pPr>
      <w:r>
        <w:rPr>
          <w:bCs/>
          <w:b/>
        </w:rPr>
        <w:t xml:space="preserve">Prepared By:</w:t>
      </w:r>
      <w:r>
        <w:t xml:space="preserve"> </w:t>
      </w:r>
      <w:r>
        <w:t xml:space="preserve">Environmental Solutions Group (ESG)</w:t>
      </w:r>
      <w:r>
        <w:br/>
      </w:r>
      <w:r>
        <w:rPr>
          <w:bCs/>
          <w:b/>
        </w:rPr>
        <w:t xml:space="preserve">Contact:</w:t>
      </w:r>
      <w:r>
        <w:t xml:space="preserve"> </w:t>
      </w:r>
      <w:r>
        <w:t xml:space="preserve">Carlos Mendoza, Regional Director | +57 310 555 7890 | carlos.mendoza@esgcolombia.com</w:t>
      </w:r>
      <w:r>
        <w:br/>
      </w:r>
      <w:r>
        <w:rPr>
          <w:iCs/>
          <w:i/>
        </w:rPr>
        <w:t xml:space="preserve">Empowering Colombia Medellín’s Sustainable Transformation Through Expert Environmental Engineering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Performance Report: Colombia Medellín</dc:title>
  <dc:creator/>
  <dc:language>en</dc:language>
  <cp:keywords/>
  <dcterms:created xsi:type="dcterms:W3CDTF">2026-07-23T18:17:48Z</dcterms:created>
  <dcterms:modified xsi:type="dcterms:W3CDTF">2026-07-23T18:17:48Z</dcterms:modified>
</cp:coreProperties>
</file>

<file path=docProps/custom.xml><?xml version="1.0" encoding="utf-8"?>
<Properties xmlns="http://schemas.openxmlformats.org/officeDocument/2006/custom-properties" xmlns:vt="http://schemas.openxmlformats.org/officeDocument/2006/docPropsVTypes"/>
</file>