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Berlin</w:t>
      </w:r>
      <w:r>
        <w:t xml:space="preserve"> </w:t>
      </w:r>
      <w:r>
        <w:t xml:space="preserve">Market</w:t>
      </w:r>
      <w:r>
        <w:t xml:space="preserve"> </w:t>
      </w:r>
      <w:r>
        <w:t xml:space="preserve">Analysis</w:t>
      </w:r>
    </w:p>
    <w:bookmarkStart w:id="26" w:name="X8651797e34953c499284ec7aaef2d84705e400d"/>
    <w:p>
      <w:pPr>
        <w:pStyle w:val="Heading1"/>
      </w:pPr>
      <w:r>
        <w:t xml:space="preserve">Environmental Engineering Services Sales Report: Strategic Market Positioning in Germany's Berlin Hub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Environmental Engineering Solutions GmbH</w:t>
      </w:r>
      <w:r>
        <w:br/>
      </w:r>
      <w:r>
        <w:rPr>
          <w:bCs/>
          <w:b/>
        </w:rPr>
        <w:t xml:space="preserve">Report Scope:</w:t>
      </w:r>
      <w:r>
        <w:t xml:space="preserve"> </w:t>
      </w:r>
      <w:r>
        <w:t xml:space="preserve">Sales Performance &amp; Market Strategy Analysis for Environmental Engineering Services in Berlin, Germany</w:t>
      </w:r>
    </w:p>
    <w:bookmarkStart w:id="20" w:name="X84e03649546bdc5d9cf964538679b44d6b6b646"/>
    <w:p>
      <w:pPr>
        <w:pStyle w:val="Heading2"/>
      </w:pPr>
      <w:r>
        <w:t xml:space="preserve">I. Executive Summary: Driving Sustainable Growth in Berlin's Green Economy</w:t>
      </w:r>
    </w:p>
    <w:p>
      <w:pPr>
        <w:pStyle w:val="FirstParagraph"/>
      </w:pPr>
      <w:r>
        <w:t xml:space="preserve">This comprehensive Sales Report details the strategic performance of Environmental Engineering services within Germany's capital city, Berlin. As climate action accelerates under the European Green Deal and Berlin's own 2030 Climate Action Plan, demand for specialized Environmental Engineer expertise has surged by 37% year-on-year. This report confirms that our firm's targeted service portfolio—aligned with Berlin's regulatory framework and urban sustainability challenges—has generated €1.85M in new sales contracts since January 2023, exceeding Q3 targets by 22%. The Berlin market represents not merely a revenue opportunity but the strategic epicenter for scaling our Environmental Engineering footprint across Germany. Critical success factors include deep integration with Berlin's municipal sustainability initiatives and compliance with stringent German environmental regulations (BImSchG, BBodSchG).</w:t>
      </w:r>
    </w:p>
    <w:bookmarkEnd w:id="20"/>
    <w:bookmarkStart w:id="21" w:name="Xfde01ce9f2518825962750d72ab49ca35b19fdb"/>
    <w:p>
      <w:pPr>
        <w:pStyle w:val="Heading2"/>
      </w:pPr>
      <w:r>
        <w:t xml:space="preserve">II. Berlin-Specific Market Analysis: Demand Drivers &amp; Competitive Landscape</w:t>
      </w:r>
    </w:p>
    <w:p>
      <w:pPr>
        <w:pStyle w:val="FirstParagraph"/>
      </w:pPr>
      <w:r>
        <w:t xml:space="preserve">Berlin's unique position as Germany's political, cultural, and green technology hub creates unparalleled demand for Environmental Engineering services:</w:t>
      </w:r>
    </w:p>
    <w:p>
      <w:pPr>
        <w:numPr>
          <w:ilvl w:val="0"/>
          <w:numId w:val="1001"/>
        </w:numPr>
        <w:pStyle w:val="Compact"/>
      </w:pPr>
      <w:r>
        <w:rPr>
          <w:bCs/>
          <w:b/>
        </w:rPr>
        <w:t xml:space="preserve">Regulatory Catalysts:</w:t>
      </w:r>
      <w:r>
        <w:t xml:space="preserve"> </w:t>
      </w:r>
      <w:r>
        <w:t xml:space="preserve">Berlin’s stringent "Umweltschutzverordnung" (Environmental Protection Ordinance) mandates advanced pollution monitoring and remediation for all urban developments. This directly fuels demand for our Environmental Engineer-led site assessments and compliance solutions.</w:t>
      </w:r>
    </w:p>
    <w:p>
      <w:pPr>
        <w:numPr>
          <w:ilvl w:val="0"/>
          <w:numId w:val="1001"/>
        </w:numPr>
        <w:pStyle w:val="Compact"/>
      </w:pPr>
      <w:r>
        <w:rPr>
          <w:bCs/>
          <w:b/>
        </w:rPr>
        <w:t xml:space="preserve">Urban Renewal Projects:</w:t>
      </w:r>
      <w:r>
        <w:t xml:space="preserve"> </w:t>
      </w:r>
      <w:r>
        <w:t xml:space="preserve">Major initiatives like the Spree River revitalization, Tempelhofer Feld redevelopment, and Berlin's 150+ new sustainable housing projects require continuous Environmental Engineering oversight. Our team secured contracts with 4 of the top 5 construction firms bidding for these projects.</w:t>
      </w:r>
    </w:p>
    <w:p>
      <w:pPr>
        <w:numPr>
          <w:ilvl w:val="0"/>
          <w:numId w:val="1001"/>
        </w:numPr>
        <w:pStyle w:val="Compact"/>
      </w:pPr>
      <w:r>
        <w:rPr>
          <w:bCs/>
          <w:b/>
        </w:rPr>
        <w:t xml:space="preserve">Corporate ESG Imperative:</w:t>
      </w:r>
      <w:r>
        <w:t xml:space="preserve"> </w:t>
      </w:r>
      <w:r>
        <w:t xml:space="preserve">Berlin hosts over 80% of Germany’s green tech startups. Companies like Siemens Mobility (Berlin Campus) and AstraZeneca (Berlin Research Hub) now mandate Environmental Engineer-certified carbon footprint audits as part of their ESG reporting—creating a recurring revenue stream for our consulting services.</w:t>
      </w:r>
    </w:p>
    <w:p>
      <w:pPr>
        <w:numPr>
          <w:ilvl w:val="0"/>
          <w:numId w:val="1001"/>
        </w:numPr>
        <w:pStyle w:val="Compact"/>
      </w:pPr>
      <w:r>
        <w:rPr>
          <w:bCs/>
          <w:b/>
        </w:rPr>
        <w:t xml:space="preserve">Competitive Differentiation:</w:t>
      </w:r>
      <w:r>
        <w:t xml:space="preserve"> </w:t>
      </w:r>
      <w:r>
        <w:t xml:space="preserve">While 12 local firms compete for basic environmental compliance work, only 3 offer Berlin-specific expertise in integrating EU Green Deal standards with municipal regulations. Our deep knowledge of Berlin's soil remediation protocols (e.g., "Berliner Altlastenplanung") gives us a decisive edge.</w:t>
      </w:r>
    </w:p>
    <w:bookmarkEnd w:id="21"/>
    <w:bookmarkStart w:id="22" w:name="X46138de6581328c090314aa84d135bb0801db56"/>
    <w:p>
      <w:pPr>
        <w:pStyle w:val="Heading2"/>
      </w:pPr>
      <w:r>
        <w:t xml:space="preserve">III. Sales Performance Breakdown: Key Service Offerings &amp; Berlin Client Acquisition</w:t>
      </w:r>
    </w:p>
    <w:p>
      <w:pPr>
        <w:pStyle w:val="FirstParagraph"/>
      </w:pPr>
      <w:r>
        <w:t xml:space="preserve">This quarter, our sales pipeline in Berlin focused on high-value Environmental Engineering service bundles:</w:t>
      </w:r>
    </w:p>
    <w:p>
      <w:pPr>
        <w:pStyle w:val="BodyText"/>
      </w:pPr>
      <w:r>
        <w:t xml:space="preserve">Service Category</w:t>
      </w:r>
    </w:p>
    <w:p>
      <w:pPr>
        <w:pStyle w:val="BodyText"/>
      </w:pPr>
      <w:r>
        <w:t xml:space="preserve">Revenue Generated (Q3)</w:t>
      </w:r>
    </w:p>
    <w:p>
      <w:pPr>
        <w:pStyle w:val="BodyText"/>
      </w:pPr>
      <w:r>
        <w:t xml:space="preserve">Key Berlin Clients</w:t>
      </w:r>
    </w:p>
    <w:p>
      <w:pPr>
        <w:pStyle w:val="BodyText"/>
      </w:pPr>
      <w:r>
        <w:t xml:space="preserve">Growth vs. Q2</w:t>
      </w:r>
    </w:p>
    <w:p>
      <w:pPr>
        <w:pStyle w:val="BodyText"/>
      </w:pPr>
      <w:r>
        <w:rPr>
          <w:bCs/>
          <w:b/>
        </w:rPr>
        <w:t xml:space="preserve">Sustainable Urban Development Consulting</w:t>
      </w:r>
    </w:p>
    <w:p>
      <w:pPr>
        <w:pStyle w:val="BodyText"/>
      </w:pPr>
      <w:r>
        <w:t xml:space="preserve">€645,000</w:t>
      </w:r>
    </w:p>
    <w:p>
      <w:pPr>
        <w:pStyle w:val="BodyText"/>
      </w:pPr>
      <w:r>
        <w:t xml:space="preserve">Senate Department for Environment, Berlin; Hochtief AG (Spreeufer Project)</w:t>
      </w:r>
    </w:p>
    <w:p>
      <w:pPr>
        <w:pStyle w:val="BodyText"/>
      </w:pPr>
      <w:r>
        <w:t xml:space="preserve">+31%</w:t>
      </w:r>
    </w:p>
    <w:p>
      <w:pPr>
        <w:pStyle w:val="BodyText"/>
      </w:pPr>
      <w:r>
        <w:rPr>
          <w:bCs/>
          <w:b/>
        </w:rPr>
        <w:t xml:space="preserve">Emissions &amp; Air Quality Management</w:t>
      </w:r>
    </w:p>
    <w:p>
      <w:pPr>
        <w:pStyle w:val="BodyText"/>
      </w:pPr>
      <w:r>
        <w:t xml:space="preserve">€482,000</w:t>
      </w:r>
    </w:p>
    <w:p>
      <w:pPr>
        <w:pStyle w:val="BodyText"/>
      </w:pPr>
      <w:r>
        <w:t xml:space="preserve">Siemens Mobility; Berliner Verkehrsbetriebe (BVG)</w:t>
      </w:r>
    </w:p>
    <w:p>
      <w:pPr>
        <w:pStyle w:val="BodyText"/>
      </w:pPr>
      <w:r>
        <w:t xml:space="preserve">+26%</w:t>
      </w:r>
    </w:p>
    <w:p>
      <w:pPr>
        <w:pStyle w:val="BodyText"/>
      </w:pPr>
      <w:r>
        <w:rPr>
          <w:bCs/>
          <w:b/>
        </w:rPr>
        <w:t xml:space="preserve">Contaminated Site Remediation</w:t>
      </w:r>
    </w:p>
    <w:p>
      <w:pPr>
        <w:pStyle w:val="BodyText"/>
      </w:pPr>
      <w:r>
        <w:t xml:space="preserve">€410,000</w:t>
      </w:r>
    </w:p>
    <w:p>
      <w:pPr>
        <w:pStyle w:val="BodyText"/>
      </w:pPr>
      <w:r>
        <w:t xml:space="preserve">TU Berlin Research Foundation; RWE Energy (Tempelhof Site)</w:t>
      </w:r>
    </w:p>
    <w:p>
      <w:pPr>
        <w:pStyle w:val="BodyText"/>
      </w:pPr>
      <w:r>
        <w:t xml:space="preserve">+43%</w:t>
      </w:r>
    </w:p>
    <w:p>
      <w:pPr>
        <w:pStyle w:val="BodyText"/>
      </w:pPr>
      <w:r>
        <w:rPr>
          <w:bCs/>
          <w:b/>
        </w:rPr>
        <w:t xml:space="preserve">Waste Management Optimization</w:t>
      </w:r>
    </w:p>
    <w:p>
      <w:pPr>
        <w:pStyle w:val="BodyText"/>
      </w:pPr>
      <w:r>
        <w:t xml:space="preserve">€298,000</w:t>
      </w:r>
    </w:p>
    <w:p>
      <w:pPr>
        <w:pStyle w:val="BodyText"/>
      </w:pPr>
      <w:r>
        <w:t xml:space="preserve">Berlin Recycling GmbH; City of Berlin Waste Department</w:t>
      </w:r>
    </w:p>
    <w:p>
      <w:pPr>
        <w:pStyle w:val="BodyText"/>
      </w:pPr>
      <w:r>
        <w:t xml:space="preserve">+18%</w:t>
      </w:r>
    </w:p>
    <w:p>
      <w:pPr>
        <w:pStyle w:val="BodyText"/>
      </w:pPr>
      <w:r>
        <w:rPr>
          <w:iCs/>
          <w:i/>
        </w:rPr>
        <w:t xml:space="preserve">Note: 100% of these contracts required on-site Environmental Engineer deployment within Berlin, leveraging our local office (located in Friedrichshain-Kreuzberg, central Berlin) for rapid response to municipal deadlines.</w:t>
      </w:r>
    </w:p>
    <w:bookmarkEnd w:id="22"/>
    <w:bookmarkStart w:id="23" w:name="X64e98d9233627bf05b00e40f04de7c897fccb65"/>
    <w:p>
      <w:pPr>
        <w:pStyle w:val="Heading2"/>
      </w:pPr>
      <w:r>
        <w:t xml:space="preserve">IV. Client Success Story: Transforming Urban Sustainability at Tempelhof Airport</w:t>
      </w:r>
    </w:p>
    <w:p>
      <w:pPr>
        <w:pStyle w:val="FirstParagraph"/>
      </w:pPr>
      <w:r>
        <w:t xml:space="preserve">A flagship project demonstrating the value of Environmental Engineer expertise in Berlin was our contract with the City of Berlin for the Tempelhof Airport redevelopment. As part of Germany’s largest brownfield site cleanup (500 hectares), our team deployed 12 certified Environmental Engineers to:</w:t>
      </w:r>
    </w:p>
    <w:p>
      <w:pPr>
        <w:numPr>
          <w:ilvl w:val="0"/>
          <w:numId w:val="1002"/>
        </w:numPr>
        <w:pStyle w:val="Compact"/>
      </w:pPr>
      <w:r>
        <w:t xml:space="preserve">Conduct soil and groundwater assessments under Berlin's "Altlastensanierung" framework, identifying heavy metal contamination exceeding local thresholds.</w:t>
      </w:r>
    </w:p>
    <w:p>
      <w:pPr>
        <w:numPr>
          <w:ilvl w:val="0"/>
          <w:numId w:val="1002"/>
        </w:numPr>
        <w:pStyle w:val="Compact"/>
      </w:pPr>
      <w:r>
        <w:t xml:space="preserve">Design a remediation plan compliant with the federal "Bundes-Bodenschutzgesetz" while optimizing for Berlin’s 2030 carbon neutrality target.</w:t>
      </w:r>
    </w:p>
    <w:p>
      <w:pPr>
        <w:numPr>
          <w:ilvl w:val="0"/>
          <w:numId w:val="1002"/>
        </w:numPr>
        <w:pStyle w:val="Compact"/>
      </w:pPr>
      <w:r>
        <w:t xml:space="preserve">Implement real-time air quality monitoring during construction, preventing €280k in potential regulatory fines from BVG (Berlin Public Transport).</w:t>
      </w:r>
    </w:p>
    <w:p>
      <w:pPr>
        <w:pStyle w:val="FirstParagraph"/>
      </w:pPr>
      <w:r>
        <w:t xml:space="preserve">The project resulted in a 34% faster remediation timeline than industry average and earned us a "Sustainability Excellence" award from the Berlin Senate. This success directly fueled three new enterprise contracts with Berlin-based clients, showcasing how Environmental Engineer expertise translates to measurable sales growth.</w:t>
      </w:r>
    </w:p>
    <w:bookmarkEnd w:id="23"/>
    <w:bookmarkStart w:id="24" w:name="Xd99276db46b8889ef8c23720fd7b922d4bdaf09"/>
    <w:p>
      <w:pPr>
        <w:pStyle w:val="Heading2"/>
      </w:pPr>
      <w:r>
        <w:t xml:space="preserve">V. Strategic Recommendations for Sustained Growth in Germany's Berlin Market</w:t>
      </w:r>
    </w:p>
    <w:p>
      <w:pPr>
        <w:pStyle w:val="FirstParagraph"/>
      </w:pPr>
      <w:r>
        <w:t xml:space="preserve">To capitalize on our momentum and secure leadership in the German capital’s environmental engineering market, we recommend:</w:t>
      </w:r>
    </w:p>
    <w:p>
      <w:pPr>
        <w:numPr>
          <w:ilvl w:val="0"/>
          <w:numId w:val="1003"/>
        </w:numPr>
        <w:pStyle w:val="Compact"/>
      </w:pPr>
      <w:r>
        <w:rPr>
          <w:bCs/>
          <w:b/>
        </w:rPr>
        <w:t xml:space="preserve">Expand Berlin Local Talent Acquisition:</w:t>
      </w:r>
      <w:r>
        <w:t xml:space="preserve"> </w:t>
      </w:r>
      <w:r>
        <w:t xml:space="preserve">Partner with TU Berlin and HTW Berlin to recruit Environmental Engineers fluent in local regulations. Targeting 15 new hires by Q2 2024 will address our current 37% capacity gap.</w:t>
      </w:r>
    </w:p>
    <w:p>
      <w:pPr>
        <w:numPr>
          <w:ilvl w:val="0"/>
          <w:numId w:val="1003"/>
        </w:numPr>
        <w:pStyle w:val="Compact"/>
      </w:pPr>
      <w:r>
        <w:rPr>
          <w:bCs/>
          <w:b/>
        </w:rPr>
        <w:t xml:space="preserve">Develop Municipal Partnership Programs:</w:t>
      </w:r>
      <w:r>
        <w:t xml:space="preserve"> </w:t>
      </w:r>
      <w:r>
        <w:t xml:space="preserve">Create a dedicated "Berlin Climate Action Team" offering subsidized workshops for Senate departments on implementing EU Green Deal standards—positioning us as essential partners, not just vendors.</w:t>
      </w:r>
    </w:p>
    <w:p>
      <w:pPr>
        <w:numPr>
          <w:ilvl w:val="0"/>
          <w:numId w:val="1003"/>
        </w:numPr>
        <w:pStyle w:val="Compact"/>
      </w:pPr>
      <w:r>
        <w:rPr>
          <w:bCs/>
          <w:b/>
        </w:rPr>
        <w:t xml:space="preserve">Launch Berlin-Specific Digital Tools:</w:t>
      </w:r>
      <w:r>
        <w:t xml:space="preserve"> </w:t>
      </w:r>
      <w:r>
        <w:t xml:space="preserve">Develop a compliance dashboard for Berlin’s "Umweltinformationsportal" (Environmental Information Portal) to streamline reporting for clients—reducing administrative costs by 25% and increasing client retention.</w:t>
      </w:r>
    </w:p>
    <w:bookmarkEnd w:id="24"/>
    <w:bookmarkStart w:id="25" w:name="X148484d7bb8ee9d5745a608fe48ab913f7c01e3"/>
    <w:p>
      <w:pPr>
        <w:pStyle w:val="Heading2"/>
      </w:pPr>
      <w:r>
        <w:t xml:space="preserve">VI. Conclusion: Environmental Engineering as Berlin's Economic Catalyst</w:t>
      </w:r>
    </w:p>
    <w:p>
      <w:pPr>
        <w:pStyle w:val="FirstParagraph"/>
      </w:pPr>
      <w:r>
        <w:t xml:space="preserve">The German capital is no longer just a market—it’s the proving ground for Europe’s green transition. This Sales Report unequivocally demonstrates that specialized Environmental Engineer capabilities are the key differentiator driving revenue in Berlin. Our strategic focus on Berlin-specific regulatory nuance, urban-scale project experience, and deep integration with city sustainability goals has positioned us at the forefront of Germany’s environmental services market. As Berlin accelerates toward its 2030 climate targets under the European Green Deal, our Environmental Engineering service offerings will remain central to securing contracts across municipal projects, corporate ESG mandates, and large-scale infrastructure development. The path forward is clear: deepen our Berlin roots to become the indispensable partner for sustainable growth in Germany's capital.</w:t>
      </w:r>
    </w:p>
    <w:p>
      <w:pPr>
        <w:pStyle w:val="BodyText"/>
      </w:pPr>
      <w:r>
        <w:rPr>
          <w:bCs/>
          <w:b/>
        </w:rPr>
        <w:t xml:space="preserve">Prepared by:</w:t>
      </w:r>
      <w:r>
        <w:t xml:space="preserve"> </w:t>
      </w:r>
      <w:r>
        <w:t xml:space="preserve">Global Sales Strategy Team</w:t>
      </w:r>
      <w:r>
        <w:br/>
      </w:r>
      <w:r>
        <w:rPr>
          <w:bCs/>
          <w:b/>
        </w:rPr>
        <w:t xml:space="preserve">Environmental Engineering Solutions GmbH (Berlin Office)</w:t>
      </w:r>
      <w:r>
        <w:br/>
      </w:r>
      <w:r>
        <w:rPr>
          <w:iCs/>
          <w:i/>
        </w:rPr>
        <w:t xml:space="preserve">"Engineering a Sustainable Berlin, One Project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Services Sales Report: Berlin Market Analysis</dc:title>
  <dc:creator/>
  <dc:language>en</dc:language>
  <cp:keywords/>
  <dcterms:created xsi:type="dcterms:W3CDTF">2026-07-15T12:47:36Z</dcterms:created>
  <dcterms:modified xsi:type="dcterms:W3CDTF">2026-07-15T12:47:36Z</dcterms:modified>
</cp:coreProperties>
</file>

<file path=docProps/custom.xml><?xml version="1.0" encoding="utf-8"?>
<Properties xmlns="http://schemas.openxmlformats.org/officeDocument/2006/custom-properties" xmlns:vt="http://schemas.openxmlformats.org/officeDocument/2006/docPropsVTypes"/>
</file>