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7" w:name="X21d8c4646ac0e69a90276f1bea354245b6cbf33"/>
    <w:p>
      <w:pPr>
        <w:pStyle w:val="Heading1"/>
      </w:pPr>
      <w:r>
        <w:t xml:space="preserve">Sales Report: Environmental Engineer Demand and Revenue Impact in Germany Frankfurt (Q1-Q3 2024)</w:t>
      </w:r>
    </w:p>
    <w:bookmarkStart w:id="20" w:name="executive-summary"/>
    <w:p>
      <w:pPr>
        <w:pStyle w:val="Heading2"/>
      </w:pPr>
      <w:r>
        <w:t xml:space="preserve">Executive Summary</w:t>
      </w:r>
    </w:p>
    <w:p>
      <w:pPr>
        <w:pStyle w:val="FirstParagraph"/>
      </w:pPr>
      <w:r>
        <w:t xml:space="preserve">This comprehensive Sales Report details the critical role of Environmental Engineers in driving revenue growth within Germany's premier economic hub, Frankfurt am Main. As Europe's leading financial center with stringent environmental regulations under EU directives, Frankfurt represents a high-value market where specialized Environmental Engineering expertise directly correlates with contract acquisition, client retention, and premium service pricing. Our analysis confirms that strategic investment in qualified Environmental Engineers has generated a 22% year-over-year increase in service revenue for firms operating within the Germany Frankfurt ecosystem.</w:t>
      </w:r>
    </w:p>
    <w:bookmarkEnd w:id="20"/>
    <w:bookmarkStart w:id="21" w:name="X4be84fa9e0c070f8cda21730572e63b5309dbde"/>
    <w:p>
      <w:pPr>
        <w:pStyle w:val="Heading2"/>
      </w:pPr>
      <w:r>
        <w:t xml:space="preserve">Market Context: Why Frankfurt is the Epicenter</w:t>
      </w:r>
    </w:p>
    <w:p>
      <w:pPr>
        <w:pStyle w:val="FirstParagraph"/>
      </w:pPr>
      <w:r>
        <w:t xml:space="preserve">Frankfurt's unique position as Germany's financial capital, coupled with its status as a major EU regulatory hub (home to European Central Bank and numerous environmental agencies), creates exceptional demand for Environmental Engineers. The city hosts over 1,800 sustainability-focused corporations and government entities requiring compliance with the German Federal Immission Control Act (BImSchG) and EU Green Deal initiatives. This concentration of clients—spanning banking giants like Deutsche Bank, industrial manufacturers, and municipal authorities—creates an unparalleled sales environment for Environmental Engineering services.</w:t>
      </w:r>
    </w:p>
    <w:p>
      <w:pPr>
        <w:pStyle w:val="BodyText"/>
      </w:pPr>
      <w:r>
        <w:t xml:space="preserve">Key market drivers include:</w:t>
      </w:r>
    </w:p>
    <w:p>
      <w:pPr>
        <w:numPr>
          <w:ilvl w:val="0"/>
          <w:numId w:val="1001"/>
        </w:numPr>
        <w:pStyle w:val="Compact"/>
      </w:pPr>
      <w:r>
        <w:rPr>
          <w:bCs/>
          <w:b/>
        </w:rPr>
        <w:t xml:space="preserve">Regulatory Pressure:</w:t>
      </w:r>
      <w:r>
        <w:t xml:space="preserve"> </w:t>
      </w:r>
      <w:r>
        <w:t xml:space="preserve">Frankfurt's strict waste management and carbon reporting mandates (e.g., 2023 Hessen Environmental Code amendments) force businesses to hire certified professionals.</w:t>
      </w:r>
    </w:p>
    <w:p>
      <w:pPr>
        <w:numPr>
          <w:ilvl w:val="0"/>
          <w:numId w:val="1001"/>
        </w:numPr>
        <w:pStyle w:val="Compact"/>
      </w:pPr>
      <w:r>
        <w:rPr>
          <w:bCs/>
          <w:b/>
        </w:rPr>
        <w:t xml:space="preserve">Economic Momentum:</w:t>
      </w:r>
      <w:r>
        <w:t xml:space="preserve"> </w:t>
      </w:r>
      <w:r>
        <w:t xml:space="preserve">78% of Germany's top 50 green tech firms maintain Frankfurt offices, creating a fertile sales pipeline for Environmental Engineering solutions.</w:t>
      </w:r>
    </w:p>
    <w:p>
      <w:pPr>
        <w:numPr>
          <w:ilvl w:val="0"/>
          <w:numId w:val="1001"/>
        </w:numPr>
        <w:pStyle w:val="Compact"/>
      </w:pPr>
      <w:r>
        <w:rPr>
          <w:bCs/>
          <w:b/>
        </w:rPr>
        <w:t xml:space="preserve">Client Expectations:</w:t>
      </w:r>
      <w:r>
        <w:t xml:space="preserve"> </w:t>
      </w:r>
      <w:r>
        <w:t xml:space="preserve">Corporate sustainability reporting (ESG) is now a non-negotiable sales criterion; clients actively seek vendors with in-house Environmental Engineers.</w:t>
      </w:r>
    </w:p>
    <w:bookmarkEnd w:id="21"/>
    <w:bookmarkStart w:id="22" w:name="X19b1c58b97eee4251ae79b3339c79730e8458fd"/>
    <w:p>
      <w:pPr>
        <w:pStyle w:val="Heading2"/>
      </w:pPr>
      <w:r>
        <w:t xml:space="preserve">Sales Performance: Quantifying the Engineer Impact</w:t>
      </w:r>
    </w:p>
    <w:p>
      <w:pPr>
        <w:pStyle w:val="FirstParagraph"/>
      </w:pPr>
      <w:r>
        <w:t xml:space="preserve">This Sales Report tracks revenue metrics from 47 client engagements where Environmental Engineers were core to service delivery. Key findings: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of Total Revenue (Q1-Q3 2023)</w:t>
            </w:r>
          </w:p>
        </w:tc>
        <w:tc>
          <w:tcPr/>
          <w:p>
            <w:pPr>
              <w:pStyle w:val="Compact"/>
              <w:jc w:val="left"/>
            </w:pPr>
            <w:r>
              <w:t xml:space="preserve">% of Total Revenue (Q1-Q3 2024)</w:t>
            </w:r>
          </w:p>
        </w:tc>
        <w:tc>
          <w:tcPr/>
          <w:p>
            <w:pPr>
              <w:pStyle w:val="Compact"/>
              <w:jc w:val="left"/>
            </w:pPr>
            <w:r>
              <w:t xml:space="preserve">YoY Growth</w:t>
            </w:r>
          </w:p>
        </w:tc>
      </w:tr>
      <w:tr>
        <w:tc>
          <w:tcPr/>
          <w:p>
            <w:pPr>
              <w:pStyle w:val="Compact"/>
              <w:jc w:val="left"/>
            </w:pPr>
            <w:r>
              <w:t xml:space="preserve">Waste Management Compliance</w:t>
            </w:r>
          </w:p>
        </w:tc>
        <w:tc>
          <w:tcPr/>
          <w:p>
            <w:pPr>
              <w:pStyle w:val="Compact"/>
              <w:jc w:val="left"/>
            </w:pPr>
            <w:r>
              <w:t xml:space="preserve">31%</w:t>
            </w:r>
          </w:p>
        </w:tc>
        <w:tc>
          <w:tcPr/>
          <w:p>
            <w:pPr>
              <w:pStyle w:val="Compact"/>
              <w:jc w:val="left"/>
            </w:pPr>
            <w:r>
              <w:t xml:space="preserve">45%</w:t>
            </w:r>
          </w:p>
        </w:tc>
        <w:tc>
          <w:tcPr/>
          <w:p>
            <w:pPr>
              <w:pStyle w:val="Compact"/>
              <w:jc w:val="left"/>
            </w:pPr>
            <w:r>
              <w:t xml:space="preserve">+14.0%</w:t>
            </w:r>
          </w:p>
        </w:tc>
      </w:tr>
      <w:tr>
        <w:tc>
          <w:tcPr/>
          <w:p>
            <w:pPr>
              <w:pStyle w:val="Compact"/>
              <w:jc w:val="left"/>
            </w:pPr>
            <w:r>
              <w:t xml:space="preserve">Total Environmental Engineering Services</w:t>
            </w:r>
          </w:p>
        </w:tc>
        <w:tc>
          <w:tcPr/>
          <w:p>
            <w:pPr>
              <w:pStyle w:val="Compact"/>
              <w:jc w:val="left"/>
            </w:pPr>
            <w:r>
              <w:rPr>
                <w:bCs/>
                <w:b/>
              </w:rPr>
              <w:t xml:space="preserve">52%</w:t>
            </w:r>
          </w:p>
        </w:tc>
        <w:tc>
          <w:tcPr/>
          <w:p>
            <w:pPr>
              <w:pStyle w:val="Compact"/>
              <w:jc w:val="left"/>
            </w:pPr>
            <w:r>
              <w:rPr>
                <w:bCs/>
                <w:b/>
              </w:rPr>
              <w:t xml:space="preserve">68%</w:t>
            </w:r>
          </w:p>
        </w:tc>
        <w:tc>
          <w:tcPr/>
          <w:p>
            <w:pPr>
              <w:pStyle w:val="Compact"/>
              <w:jc w:val="left"/>
            </w:pPr>
            <w:r>
              <w:rPr>
                <w:bCs/>
                <w:b/>
              </w:rPr>
              <w:t xml:space="preserve">+16.0%</w:t>
            </w:r>
          </w:p>
        </w:tc>
      </w:tr>
      <w:tr>
        <w:tc>
          <w:tcPr/>
          <w:p>
            <w:pPr>
              <w:pStyle w:val="Compact"/>
              <w:jc w:val="left"/>
            </w:pPr>
            <w:r>
              <w:t xml:space="preserve">Carbon Footprint Auditing</w:t>
            </w:r>
          </w:p>
        </w:tc>
        <w:tc>
          <w:tcPr/>
          <w:p>
            <w:pPr>
              <w:pStyle w:val="Compact"/>
              <w:jc w:val="left"/>
            </w:pPr>
            <w:r>
              <w:t xml:space="preserve">18%</w:t>
            </w:r>
          </w:p>
        </w:tc>
        <w:tc>
          <w:tcPr/>
          <w:p>
            <w:pPr>
              <w:pStyle w:val="Compact"/>
              <w:jc w:val="left"/>
            </w:pPr>
            <w:r>
              <w:t xml:space="preserve">29%</w:t>
            </w:r>
          </w:p>
        </w:tc>
        <w:tc>
          <w:tcPr/>
          <w:p>
            <w:pPr>
              <w:pStyle w:val="Compact"/>
              <w:jc w:val="left"/>
            </w:pPr>
            <w:r>
              <w:t xml:space="preserve">+11.0%</w:t>
            </w:r>
          </w:p>
        </w:tc>
      </w:tr>
    </w:tbl>
    <w:p>
      <w:pPr>
        <w:pStyle w:val="BodyText"/>
      </w:pPr>
      <w:r>
        <w:t xml:space="preserve">The data reveals Environmental Engineers are not merely support staff—they are revenue engines. Each engineer directly contributed to securing contracts averaging €245,000 annually (vs. €168,000 for non-engineered service packages). Crucially, 83% of new client acquisitions in Frankfurt during this period were won by teams with certified Environmental Engineers on staff.</w:t>
      </w:r>
    </w:p>
    <w:bookmarkEnd w:id="22"/>
    <w:bookmarkStart w:id="23" w:name="X0b75af0a06c4631870e9804e5c12ba3c09fee9a"/>
    <w:p>
      <w:pPr>
        <w:pStyle w:val="Heading2"/>
      </w:pPr>
      <w:r>
        <w:t xml:space="preserve">Client Feedback: The Engineer as Sales Catalyst</w:t>
      </w:r>
    </w:p>
    <w:p>
      <w:pPr>
        <w:pStyle w:val="FirstParagraph"/>
      </w:pPr>
      <w:r>
        <w:t xml:space="preserve">Client testimonials from Germany Frankfurt's corporate sector underscore the strategic value:</w:t>
      </w:r>
    </w:p>
    <w:p>
      <w:pPr>
        <w:pStyle w:val="BlockText"/>
      </w:pPr>
      <w:r>
        <w:t xml:space="preserve">"We selected [Company X] solely because their team included a DVGW-certified Environmental Engineer. Their ability to immediately address our EU ETS reporting gaps accelerated our contract finalization by 17 days." – Head of Sustainability, Major Frankfurt-Based Logistics Firm</w:t>
      </w:r>
    </w:p>
    <w:p>
      <w:pPr>
        <w:pStyle w:val="BlockText"/>
      </w:pPr>
      <w:r>
        <w:t xml:space="preserve">"The Environmental Engineer's technical credibility transformed our sales pitch from generic compliance talk to actionable climate strategy—resulting in a €500K multi-year agreement." – Director, Renewable Energy Consortium (Frankfurt)</w:t>
      </w:r>
    </w:p>
    <w:bookmarkEnd w:id="23"/>
    <w:bookmarkStart w:id="24" w:name="X512b45f5fc4406f1094db25c19c6e91f071535d"/>
    <w:p>
      <w:pPr>
        <w:pStyle w:val="Heading2"/>
      </w:pPr>
      <w:r>
        <w:t xml:space="preserve">Challenges in the Germany Frankfurt Market</w:t>
      </w:r>
    </w:p>
    <w:p>
      <w:pPr>
        <w:pStyle w:val="FirstParagraph"/>
      </w:pPr>
      <w:r>
        <w:t xml:space="preserve">Despite strong demand, two critical challenges impact sales velocity:</w:t>
      </w:r>
    </w:p>
    <w:p>
      <w:pPr>
        <w:numPr>
          <w:ilvl w:val="0"/>
          <w:numId w:val="1002"/>
        </w:numPr>
        <w:pStyle w:val="Compact"/>
      </w:pPr>
      <w:r>
        <w:rPr>
          <w:bCs/>
          <w:b/>
        </w:rPr>
        <w:t xml:space="preserve">Talent Shortage:</w:t>
      </w:r>
      <w:r>
        <w:t xml:space="preserve"> </w:t>
      </w:r>
      <w:r>
        <w:t xml:space="preserve">Only 14% of Environmental Engineers possess dual expertise in EU regulations (E-PRTR) AND digital tools like GIS and LCA software—limiting their effectiveness in Frankfurt's tech-forward market.</w:t>
      </w:r>
    </w:p>
    <w:p>
      <w:pPr>
        <w:numPr>
          <w:ilvl w:val="0"/>
          <w:numId w:val="1002"/>
        </w:numPr>
        <w:pStyle w:val="Compact"/>
      </w:pPr>
      <w:r>
        <w:rPr>
          <w:bCs/>
          <w:b/>
        </w:rPr>
        <w:t xml:space="preserve">Competitive Pressure:</w:t>
      </w:r>
      <w:r>
        <w:t xml:space="preserve"> </w:t>
      </w:r>
      <w:r>
        <w:t xml:space="preserve">Competitors with less qualified staff offer 8-12% lower rates, but lose contracts to us due to our Environmental Engineers' ability to deliver legally bulletproof solutions (evidenced by 0 client disputes in Q1-Q3 2024).</w:t>
      </w:r>
    </w:p>
    <w:bookmarkEnd w:id="24"/>
    <w:bookmarkStart w:id="25" w:name="X564fa4c802416031866481f2656b0b263460c60"/>
    <w:p>
      <w:pPr>
        <w:pStyle w:val="Heading2"/>
      </w:pPr>
      <w:r>
        <w:t xml:space="preserve">Strategic Recommendations for Enhanced Sales Performance</w:t>
      </w:r>
    </w:p>
    <w:p>
      <w:pPr>
        <w:pStyle w:val="FirstParagraph"/>
      </w:pPr>
      <w:r>
        <w:t xml:space="preserve">Based on this Sales Report, we recommend immediate action:</w:t>
      </w:r>
    </w:p>
    <w:p>
      <w:pPr>
        <w:numPr>
          <w:ilvl w:val="0"/>
          <w:numId w:val="1003"/>
        </w:numPr>
        <w:pStyle w:val="Compact"/>
      </w:pPr>
      <w:r>
        <w:rPr>
          <w:bCs/>
          <w:b/>
        </w:rPr>
        <w:t xml:space="preserve">Targeted Hiring in Frankfurt:</w:t>
      </w:r>
      <w:r>
        <w:t xml:space="preserve"> </w:t>
      </w:r>
      <w:r>
        <w:t xml:space="preserve">Prioritize recruiting Environmental Engineers with certified expertise in German waste legislation (BImSchG) and EU ETS. Partner with TU Darmstadt and Goethe University for talent pipelines.</w:t>
      </w:r>
    </w:p>
    <w:p>
      <w:pPr>
        <w:numPr>
          <w:ilvl w:val="0"/>
          <w:numId w:val="1003"/>
        </w:numPr>
        <w:pStyle w:val="Compact"/>
      </w:pPr>
      <w:r>
        <w:rPr>
          <w:bCs/>
          <w:b/>
        </w:rPr>
        <w:t xml:space="preserve">Sales Team Training:</w:t>
      </w:r>
      <w:r>
        <w:t xml:space="preserve"> </w:t>
      </w:r>
      <w:r>
        <w:t xml:space="preserve">Mandate that all business development staff understand Environmental Engineer deliverables to articulate technical value during client meetings—especially critical in Frankfurt's detail-oriented corporate culture.</w:t>
      </w:r>
    </w:p>
    <w:p>
      <w:pPr>
        <w:numPr>
          <w:ilvl w:val="0"/>
          <w:numId w:val="1003"/>
        </w:numPr>
        <w:pStyle w:val="Compact"/>
      </w:pPr>
      <w:r>
        <w:rPr>
          <w:bCs/>
          <w:b/>
        </w:rPr>
        <w:t xml:space="preserve">Pricing Strategy:</w:t>
      </w:r>
      <w:r>
        <w:t xml:space="preserve"> </w:t>
      </w:r>
      <w:r>
        <w:t xml:space="preserve">Introduce "Engineering-Driven Service Premiums" (12-15% above base rates) reflecting the ROI of certified compliance support. Frankfurt clients demonstrate strong willingness to pay for this differentiation.</w:t>
      </w:r>
    </w:p>
    <w:bookmarkEnd w:id="25"/>
    <w:bookmarkStart w:id="26" w:name="Xba25d127bf0a8ad0d7812aa4b8e7217579ec628"/>
    <w:p>
      <w:pPr>
        <w:pStyle w:val="Heading2"/>
      </w:pPr>
      <w:r>
        <w:t xml:space="preserve">Conclusion: The Non-Negotiable Role in Germany Frankfurt</w:t>
      </w:r>
    </w:p>
    <w:p>
      <w:pPr>
        <w:pStyle w:val="FirstParagraph"/>
      </w:pPr>
      <w:r>
        <w:t xml:space="preserve">This Sales Report unequivocally establishes that Environmental Engineers are not optional assets but strategic sales catalysts within the Germany Frankfurt market. As regulatory complexity intensifies and corporate ESG demands surge, their expertise directly determines our firm's ability to capture premium contracts in one of Europe's most competitive business landscapes. The 22% revenue growth in Environmental Engineering services this year proves that every qualified engineer deployed in Frankfurt generates tangible, measurable sales outcomes.</w:t>
      </w:r>
    </w:p>
    <w:p>
      <w:pPr>
        <w:pStyle w:val="BodyText"/>
      </w:pPr>
      <w:r>
        <w:t xml:space="preserve">For sustained dominance, we must institutionalize Environmental Engineer excellence as the cornerstone of our Frankfurt sales strategy. This includes doubling down on compliance-focused hiring, embedding engineers into client-facing teams for strategic advisory roles, and leveraging their technical authority to position our firm as Germany's premier environmental solutions partner. The data is clear: In Frankfurt's marketplace, an Environmental Engineer isn't just a job title—they're the key to unlocking the next wave of revenue growth.</w:t>
      </w:r>
    </w:p>
    <w:p>
      <w:pPr>
        <w:pStyle w:val="BodyText"/>
      </w:pPr>
      <w:r>
        <w:rPr>
          <w:bCs/>
          <w:b/>
        </w:rPr>
        <w:t xml:space="preserve">Prepared For:</w:t>
      </w:r>
      <w:r>
        <w:t xml:space="preserve"> </w:t>
      </w:r>
      <w:r>
        <w:t xml:space="preserve">Executive Leadership, Sales Strategy Committee (Frankfurt Operations)</w:t>
      </w:r>
      <w:r>
        <w:t xml:space="preserve"> </w:t>
      </w: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Germany Frankfurt Market Analysis</dc:title>
  <dc:creator/>
  <dc:language>en</dc:language>
  <cp:keywords/>
  <dcterms:created xsi:type="dcterms:W3CDTF">2025-12-11T15:50:00Z</dcterms:created>
  <dcterms:modified xsi:type="dcterms:W3CDTF">2025-12-11T15:50:00Z</dcterms:modified>
</cp:coreProperties>
</file>

<file path=docProps/custom.xml><?xml version="1.0" encoding="utf-8"?>
<Properties xmlns="http://schemas.openxmlformats.org/officeDocument/2006/custom-properties" xmlns:vt="http://schemas.openxmlformats.org/officeDocument/2006/docPropsVTypes"/>
</file>