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Quarterly</w:t>
      </w:r>
      <w:r>
        <w:t xml:space="preserve"> </w:t>
      </w:r>
      <w:r>
        <w:t xml:space="preserve">Sales</w:t>
      </w:r>
      <w:r>
        <w:t xml:space="preserve"> </w:t>
      </w:r>
      <w:r>
        <w:t xml:space="preserve">Report:</w:t>
      </w:r>
      <w:r>
        <w:t xml:space="preserve"> </w:t>
      </w:r>
      <w:r>
        <w:t xml:space="preserve">Environmental</w:t>
      </w:r>
      <w:r>
        <w:t xml:space="preserve"> </w:t>
      </w:r>
      <w:r>
        <w:t xml:space="preserve">Engineering</w:t>
      </w:r>
      <w:r>
        <w:t xml:space="preserve"> </w:t>
      </w:r>
      <w:r>
        <w:t xml:space="preserve">Services</w:t>
      </w:r>
      <w:r>
        <w:t xml:space="preserve"> </w:t>
      </w:r>
      <w:r>
        <w:t xml:space="preserve">in</w:t>
      </w:r>
      <w:r>
        <w:t xml:space="preserve"> </w:t>
      </w:r>
      <w:r>
        <w:t xml:space="preserve">Jakarta</w:t>
      </w:r>
    </w:p>
    <w:bookmarkStart w:id="27" w:name="X9b11f75e9b422add595f625190548174550227d"/>
    <w:p>
      <w:pPr>
        <w:pStyle w:val="Heading1"/>
      </w:pPr>
      <w:r>
        <w:t xml:space="preserve">Quarterly Sales Performance Report: Environmental Engineering Services - Jakarta Market (Q3 2024)</w:t>
      </w:r>
    </w:p>
    <w:p>
      <w:pPr>
        <w:pStyle w:val="FirstParagraph"/>
      </w:pPr>
      <w:r>
        <w:rPr>
          <w:bCs/>
          <w:b/>
        </w:rPr>
        <w:t xml:space="preserve">Date:</w:t>
      </w:r>
      <w:r>
        <w:t xml:space="preserve"> </w:t>
      </w:r>
      <w:r>
        <w:t xml:space="preserve">October 26, 2024</w:t>
      </w:r>
      <w:r>
        <w:br/>
      </w:r>
      <w:r>
        <w:rPr>
          <w:bCs/>
          <w:b/>
        </w:rPr>
        <w:t xml:space="preserve">Prepared For:</w:t>
      </w:r>
      <w:r>
        <w:t xml:space="preserve"> </w:t>
      </w:r>
      <w:r>
        <w:t xml:space="preserve">Executive Leadership &amp; Stakeholders</w:t>
      </w:r>
      <w:r>
        <w:br/>
      </w:r>
      <w:r>
        <w:rPr>
          <w:bCs/>
          <w:b/>
        </w:rPr>
        <w:t xml:space="preserve">Prepared By:</w:t>
      </w:r>
      <w:r>
        <w:t xml:space="preserve"> </w:t>
      </w:r>
      <w:r>
        <w:t xml:space="preserve">Sales &amp; Business Development Division, GreenScape Solutions Indonesia</w:t>
      </w:r>
    </w:p>
    <w:bookmarkStart w:id="20" w:name="i.-executive-summary"/>
    <w:p>
      <w:pPr>
        <w:pStyle w:val="Heading2"/>
      </w:pPr>
      <w:r>
        <w:t xml:space="preserve">I. Executive Summary</w:t>
      </w:r>
    </w:p>
    <w:p>
      <w:pPr>
        <w:pStyle w:val="FirstParagraph"/>
      </w:pPr>
      <w:r>
        <w:t xml:space="preserve">This report details the Q3 2024 sales performance for Environmental Engineering services across Jakarta, Indonesia. The market demonstrates robust growth driven by stringent government regulations (PP No. 18/2008 on waste management), rapid urbanization challenges, and heightened corporate sustainability commitments. Our company achieved a 15% YoY revenue increase, securing key contracts with multinational corporations and municipal authorities in Jakarta. This success underscores the critical demand for qualified</w:t>
      </w:r>
      <w:r>
        <w:t xml:space="preserve"> </w:t>
      </w:r>
      <w:r>
        <w:rPr>
          <w:bCs/>
          <w:b/>
        </w:rPr>
        <w:t xml:space="preserve">Environmental Engineer</w:t>
      </w:r>
      <w:r>
        <w:t xml:space="preserve"> </w:t>
      </w:r>
      <w:r>
        <w:t xml:space="preserve">expertise within the</w:t>
      </w:r>
      <w:r>
        <w:t xml:space="preserve"> </w:t>
      </w:r>
      <w:r>
        <w:rPr>
          <w:bCs/>
          <w:b/>
        </w:rPr>
        <w:t xml:space="preserve">Indonesia Jakarta</w:t>
      </w:r>
      <w:r>
        <w:t xml:space="preserve"> </w:t>
      </w:r>
      <w:r>
        <w:t xml:space="preserve">market landscape. Total sales reached IDR 8.2 billion (USD $540,000), exceeding Q3 targets by 12%, primarily through consultancy services and compliance solutions.</w:t>
      </w:r>
    </w:p>
    <w:bookmarkEnd w:id="20"/>
    <w:bookmarkStart w:id="21" w:name="X5a3bf95b3783013b5a1f0c9ce4d65e89695e417"/>
    <w:p>
      <w:pPr>
        <w:pStyle w:val="Heading2"/>
      </w:pPr>
      <w:r>
        <w:t xml:space="preserve">II. Jakarta Market Analysis: Demand Drivers for Environmental Engineering Services</w:t>
      </w:r>
    </w:p>
    <w:p>
      <w:pPr>
        <w:pStyle w:val="FirstParagraph"/>
      </w:pPr>
      <w:r>
        <w:t xml:space="preserve">Indonesia Jakarta faces acute environmental pressures: chronic flooding (especially in North Jakarta districts like Penjaringan), severe air pollution (Jakarta consistently ranks among the world's most polluted cities), and waste management crises overwhelming landfills like Bantar Gebang. The DKI Jakarta Provincial Government’s 2024 Sustainability Action Plan mandates all new industrial developments to integrate advanced environmental impact assessments (EIAs) and waste-to-energy solutions. This regulatory push directly fuels demand for specialized</w:t>
      </w:r>
      <w:r>
        <w:t xml:space="preserve"> </w:t>
      </w:r>
      <w:r>
        <w:rPr>
          <w:bCs/>
          <w:b/>
        </w:rPr>
        <w:t xml:space="preserve">Environmental Engineer</w:t>
      </w:r>
      <w:r>
        <w:t xml:space="preserve"> </w:t>
      </w:r>
      <w:r>
        <w:t xml:space="preserve">services.</w:t>
      </w:r>
    </w:p>
    <w:p>
      <w:pPr>
        <w:pStyle w:val="BodyText"/>
      </w:pPr>
      <w:r>
        <w:t xml:space="preserve">The market is characterized by three key segments:</w:t>
      </w:r>
    </w:p>
    <w:p>
      <w:pPr>
        <w:numPr>
          <w:ilvl w:val="0"/>
          <w:numId w:val="1001"/>
        </w:numPr>
        <w:pStyle w:val="Compact"/>
      </w:pPr>
      <w:r>
        <w:rPr>
          <w:bCs/>
          <w:b/>
        </w:rPr>
        <w:t xml:space="preserve">Corporate Clients:</w:t>
      </w:r>
      <w:r>
        <w:t xml:space="preserve"> </w:t>
      </w:r>
      <w:r>
        <w:t xml:space="preserve">Major players like PT Pertamina, Unilever Indonesia, and Indofood require ongoing EIA support and pollution control system audits for factory compliance.</w:t>
      </w:r>
    </w:p>
    <w:p>
      <w:pPr>
        <w:numPr>
          <w:ilvl w:val="0"/>
          <w:numId w:val="1001"/>
        </w:numPr>
        <w:pStyle w:val="Compact"/>
      </w:pPr>
      <w:r>
        <w:rPr>
          <w:bCs/>
          <w:b/>
        </w:rPr>
        <w:t xml:space="preserve">Municipal &amp; Government Projects:</w:t>
      </w:r>
      <w:r>
        <w:t xml:space="preserve"> </w:t>
      </w:r>
      <w:r>
        <w:t xml:space="preserve">DKI Jakarta’s Directorate of Environmental Management actively procures engineering services for river rehabilitation (Ciliwung River Project), stormwater management upgrades, and landfill gas capture systems.</w:t>
      </w:r>
    </w:p>
    <w:p>
      <w:pPr>
        <w:numPr>
          <w:ilvl w:val="0"/>
          <w:numId w:val="1001"/>
        </w:numPr>
        <w:pStyle w:val="Compact"/>
      </w:pPr>
      <w:r>
        <w:rPr>
          <w:bCs/>
          <w:b/>
        </w:rPr>
        <w:t xml:space="preserve">Real Estate Developers:</w:t>
      </w:r>
      <w:r>
        <w:t xml:space="preserve"> </w:t>
      </w:r>
      <w:r>
        <w:t xml:space="preserve">New integrated townships (e.g., in Ciputat, Bekasi) necessitate environmental impact studies and sustainable infrastructure design from the project inception.</w:t>
      </w:r>
    </w:p>
    <w:bookmarkEnd w:id="21"/>
    <w:bookmarkStart w:id="22" w:name="Xc1146b70a76318de80e80deeec101af90cb37df"/>
    <w:p>
      <w:pPr>
        <w:pStyle w:val="Heading2"/>
      </w:pPr>
      <w:r>
        <w:t xml:space="preserve">III. Sales Performance Highlights: Q3 2024</w:t>
      </w:r>
    </w:p>
    <w:p>
      <w:pPr>
        <w:pStyle w:val="FirstParagraph"/>
      </w:pPr>
      <w:r>
        <w:rPr>
          <w:bCs/>
          <w:b/>
        </w:rPr>
        <w:t xml:space="preserve">Revenue Breakdown (IDR):</w:t>
      </w:r>
    </w:p>
    <w:tbl>
      <w:tblPr>
        <w:tblStyle w:val="Table"/>
        <w:tblW w:type="auto" w:w="0"/>
        <w:tblLook w:firstRow="1" w:lastRow="0" w:firstColumn="0" w:lastColumn="0" w:noHBand="0" w:noVBand="0" w:val="0020"/>
      </w:tblPr>
      <w:tblGrid>
        <w:gridCol w:w="1980"/>
        <w:gridCol w:w="1980"/>
        <w:gridCol w:w="1980"/>
        <w:gridCol w:w="1980"/>
      </w:tblGrid>
      <w:tr>
        <w:trPr>
          <w:tblHeader w:val="true"/>
        </w:trPr>
        <w:tc>
          <w:tcPr/>
          <w:p>
            <w:pPr>
              <w:pStyle w:val="Compact"/>
              <w:jc w:val="left"/>
            </w:pPr>
            <w:r>
              <w:t xml:space="preserve">Service Category</w:t>
            </w:r>
          </w:p>
        </w:tc>
        <w:tc>
          <w:tcPr/>
          <w:p>
            <w:pPr>
              <w:pStyle w:val="Compact"/>
              <w:jc w:val="left"/>
            </w:pPr>
            <w:r>
              <w:t xml:space="preserve">Q3 Revenue (IDR)</w:t>
            </w:r>
          </w:p>
        </w:tc>
        <w:tc>
          <w:tcPr/>
          <w:p>
            <w:pPr>
              <w:pStyle w:val="Compact"/>
              <w:jc w:val="left"/>
            </w:pPr>
            <w:r>
              <w:t xml:space="preserve">% of Total</w:t>
            </w:r>
          </w:p>
        </w:tc>
        <w:tc>
          <w:tcPr/>
          <w:p>
            <w:pPr>
              <w:pStyle w:val="Compact"/>
              <w:jc w:val="left"/>
            </w:pPr>
            <w:r>
              <w:t xml:space="preserve">YoY Change</w:t>
            </w:r>
          </w:p>
        </w:tc>
      </w:tr>
      <w:tr>
        <w:tc>
          <w:tcPr/>
          <w:p>
            <w:pPr>
              <w:pStyle w:val="Compact"/>
              <w:jc w:val="left"/>
            </w:pPr>
            <w:r>
              <w:t xml:space="preserve">EIA &amp; Compliance Consulting</w:t>
            </w:r>
          </w:p>
        </w:tc>
        <w:tc>
          <w:tcPr/>
          <w:p>
            <w:pPr>
              <w:pStyle w:val="Compact"/>
              <w:jc w:val="left"/>
            </w:pPr>
            <w:r>
              <w:t xml:space="preserve">4,150,000,000</w:t>
            </w:r>
          </w:p>
        </w:tc>
        <w:tc>
          <w:tcPr/>
          <w:p>
            <w:pPr>
              <w:pStyle w:val="Compact"/>
              <w:jc w:val="left"/>
            </w:pPr>
            <w:r>
              <w:t xml:space="preserve">51%</w:t>
            </w:r>
          </w:p>
        </w:tc>
        <w:tc>
          <w:tcPr/>
          <w:p>
            <w:pPr>
              <w:pStyle w:val="Compact"/>
              <w:jc w:val="left"/>
            </w:pPr>
            <w:r>
              <w:t xml:space="preserve">+22%</w:t>
            </w:r>
          </w:p>
        </w:tc>
      </w:tr>
      <w:tr>
        <w:tc>
          <w:tcPr/>
          <w:p>
            <w:pPr>
              <w:pStyle w:val="Compact"/>
              <w:jc w:val="left"/>
            </w:pPr>
            <w:r>
              <w:t xml:space="preserve">Waste Management System Design</w:t>
            </w:r>
          </w:p>
        </w:tc>
        <w:tc>
          <w:tcPr/>
          <w:p>
            <w:pPr>
              <w:pStyle w:val="Compact"/>
              <w:jc w:val="left"/>
            </w:pPr>
            <w:r>
              <w:t xml:space="preserve">2,385,674,999</w:t>
            </w:r>
          </w:p>
        </w:tc>
        <w:tc>
          <w:tcPr/>
          <w:p>
            <w:pPr>
              <w:pStyle w:val="Compact"/>
              <w:jc w:val="left"/>
            </w:pPr>
            <w:r>
              <w:t xml:space="preserve">29%</w:t>
            </w:r>
          </w:p>
        </w:tc>
        <w:tc>
          <w:tcPr/>
          <w:p>
            <w:pPr>
              <w:pStyle w:val="Compact"/>
              <w:jc w:val="left"/>
            </w:pPr>
            <w:r>
              <w:t xml:space="preserve">+18%</w:t>
            </w:r>
          </w:p>
        </w:tc>
      </w:tr>
      <w:tr>
        <w:tc>
          <w:tcPr/>
          <w:p>
            <w:pPr>
              <w:pStyle w:val="Compact"/>
              <w:jc w:val="left"/>
            </w:pPr>
            <w:r>
              <w:t xml:space="preserve">River/Stormwater Infrastructure Engineering</w:t>
            </w:r>
          </w:p>
        </w:tc>
        <w:tc>
          <w:tcPr/>
          <w:p>
            <w:pPr>
              <w:pStyle w:val="Compact"/>
              <w:jc w:val="left"/>
            </w:pPr>
            <w:r>
              <w:t xml:space="preserve">1,664,325,001</w:t>
            </w:r>
          </w:p>
        </w:tc>
        <w:tc>
          <w:tcPr/>
          <w:p>
            <w:pPr>
              <w:pStyle w:val="Compact"/>
              <w:jc w:val="left"/>
            </w:pPr>
            <w:r>
              <w:t xml:space="preserve">20%</w:t>
            </w:r>
          </w:p>
        </w:tc>
        <w:tc>
          <w:tcPr/>
          <w:p>
            <w:pPr>
              <w:pStyle w:val="Compact"/>
              <w:jc w:val="left"/>
            </w:pPr>
            <w:r>
              <w:t xml:space="preserve">+7%</w:t>
            </w:r>
          </w:p>
        </w:tc>
      </w:tr>
    </w:tbl>
    <w:p>
      <w:pPr>
        <w:pStyle w:val="BodyText"/>
      </w:pPr>
      <w:r>
        <w:rPr>
          <w:bCs/>
          <w:b/>
        </w:rPr>
        <w:t xml:space="preserve">Key Client Wins:</w:t>
      </w:r>
    </w:p>
    <w:p>
      <w:pPr>
        <w:numPr>
          <w:ilvl w:val="0"/>
          <w:numId w:val="1002"/>
        </w:numPr>
        <w:pStyle w:val="Compact"/>
      </w:pPr>
      <w:r>
        <w:t xml:space="preserve">Signed a 3-year contract with PT. Surya Citra Televisi (SCTV) for comprehensive waste water treatment system design and compliance monitoring across Jakarta broadcasting facilities.</w:t>
      </w:r>
    </w:p>
    <w:p>
      <w:pPr>
        <w:numPr>
          <w:ilvl w:val="0"/>
          <w:numId w:val="1002"/>
        </w:numPr>
        <w:pStyle w:val="Compact"/>
      </w:pPr>
      <w:r>
        <w:t xml:space="preserve">Secured the tender for Phase 2 of the Ciliwung River Rehabilitation Project, focusing on erosion control and sediment management in Jakarta Timur district – a project requiring deep expertise from our senior</w:t>
      </w:r>
      <w:r>
        <w:t xml:space="preserve"> </w:t>
      </w:r>
      <w:r>
        <w:rPr>
          <w:bCs/>
          <w:b/>
        </w:rPr>
        <w:t xml:space="preserve">Environmental Engineer</w:t>
      </w:r>
      <w:r>
        <w:t xml:space="preserve"> </w:t>
      </w:r>
      <w:r>
        <w:t xml:space="preserve">team.</w:t>
      </w:r>
    </w:p>
    <w:p>
      <w:pPr>
        <w:numPr>
          <w:ilvl w:val="0"/>
          <w:numId w:val="1002"/>
        </w:numPr>
        <w:pStyle w:val="Compact"/>
      </w:pPr>
      <w:r>
        <w:t xml:space="preserve">Closed a significant deal with PT. Surya Semesta Internusa (Semen Gresik) for industrial air emission monitoring and reduction strategy implementation at their Jakarta plant, driven by new DKI pollution regulations.</w:t>
      </w:r>
    </w:p>
    <w:bookmarkEnd w:id="22"/>
    <w:bookmarkStart w:id="23" w:name="Xdd0d63e0e86e803815078141e6f64ad401654a2"/>
    <w:p>
      <w:pPr>
        <w:pStyle w:val="Heading2"/>
      </w:pPr>
      <w:r>
        <w:t xml:space="preserve">IV. The Critical Role of the Environmental Engineer in Jakarta Sales Success</w:t>
      </w:r>
    </w:p>
    <w:p>
      <w:pPr>
        <w:pStyle w:val="FirstParagraph"/>
      </w:pPr>
      <w:r>
        <w:t xml:space="preserve">The success of our sales pipeline is intrinsically linked to the technical credibility and localized knowledge of our certified</w:t>
      </w:r>
      <w:r>
        <w:t xml:space="preserve"> </w:t>
      </w:r>
      <w:r>
        <w:rPr>
          <w:bCs/>
          <w:b/>
        </w:rPr>
        <w:t xml:space="preserve">Environmental Engineer</w:t>
      </w:r>
      <w:r>
        <w:t xml:space="preserve">s. In Jakarta’s complex regulatory environment, clients demand engineers who:</w:t>
      </w:r>
    </w:p>
    <w:p>
      <w:pPr>
        <w:numPr>
          <w:ilvl w:val="0"/>
          <w:numId w:val="1003"/>
        </w:numPr>
        <w:pStyle w:val="Compact"/>
      </w:pPr>
      <w:r>
        <w:t xml:space="preserve">Understand Indonesia's specific environmental regulations (SNI standards, Ministry of Environment guidelines).</w:t>
      </w:r>
    </w:p>
    <w:p>
      <w:pPr>
        <w:numPr>
          <w:ilvl w:val="0"/>
          <w:numId w:val="1003"/>
        </w:numPr>
        <w:pStyle w:val="Compact"/>
      </w:pPr>
      <w:r>
        <w:t xml:space="preserve">Have proven experience with Jakarta's unique hydrology and geology (e.g., subsidence risks in North Jakarta).</w:t>
      </w:r>
    </w:p>
    <w:p>
      <w:pPr>
        <w:numPr>
          <w:ilvl w:val="0"/>
          <w:numId w:val="1003"/>
        </w:numPr>
        <w:pStyle w:val="Compact"/>
      </w:pPr>
      <w:r>
        <w:t xml:space="preserve">Can provide practical, cost-effective solutions within the constraints of dense urban development.</w:t>
      </w:r>
    </w:p>
    <w:p>
      <w:pPr>
        <w:pStyle w:val="FirstParagraph"/>
      </w:pPr>
      <w:r>
        <w:t xml:space="preserve">A prime example is our win with a major shopping mall developer. The client initially sought generic compliance services. Our lead Environmental Engineer conducted a site-specific hydrological study of the Jakarta Utara floodplain, identifying unique mitigation needs missed by competitors. This tailored proposal, grounded in local data and engineering expertise, directly secured the contract worth IDR 2 billion.</w:t>
      </w:r>
    </w:p>
    <w:bookmarkEnd w:id="23"/>
    <w:bookmarkStart w:id="24" w:name="X9d03c71edc5544e819ed41d26c6ef0989d34701"/>
    <w:p>
      <w:pPr>
        <w:pStyle w:val="Heading2"/>
      </w:pPr>
      <w:r>
        <w:t xml:space="preserve">V. Challenges Specific to Indonesia Jakarta Market</w:t>
      </w:r>
    </w:p>
    <w:p>
      <w:pPr>
        <w:pStyle w:val="FirstParagraph"/>
      </w:pPr>
      <w:r>
        <w:t xml:space="preserve">While growth is evident, sales efforts face Jakarta-specific hurdles:</w:t>
      </w:r>
    </w:p>
    <w:p>
      <w:pPr>
        <w:numPr>
          <w:ilvl w:val="0"/>
          <w:numId w:val="1004"/>
        </w:numPr>
        <w:pStyle w:val="Compact"/>
      </w:pPr>
      <w:r>
        <w:rPr>
          <w:bCs/>
          <w:b/>
        </w:rPr>
        <w:t xml:space="preserve">Regulatory Complexity:</w:t>
      </w:r>
      <w:r>
        <w:t xml:space="preserve"> </w:t>
      </w:r>
      <w:r>
        <w:t xml:space="preserve">Navigating overlapping permits from DKI Jakarta, Central Government (Ministry of Environment), and local districts requires deep institutional knowledge our engineers possess.</w:t>
      </w:r>
    </w:p>
    <w:p>
      <w:pPr>
        <w:numPr>
          <w:ilvl w:val="0"/>
          <w:numId w:val="1004"/>
        </w:numPr>
        <w:pStyle w:val="Compact"/>
      </w:pPr>
      <w:r>
        <w:rPr>
          <w:bCs/>
          <w:b/>
        </w:rPr>
        <w:t xml:space="preserve">Client Budget Sensitivity:</w:t>
      </w:r>
      <w:r>
        <w:t xml:space="preserve"> </w:t>
      </w:r>
      <w:r>
        <w:t xml:space="preserve">Economic fluctuations impact project funding, necessitating flexible service packages and strong value demonstration by the Environmental Engineer.</w:t>
      </w:r>
    </w:p>
    <w:p>
      <w:pPr>
        <w:numPr>
          <w:ilvl w:val="0"/>
          <w:numId w:val="1004"/>
        </w:numPr>
        <w:pStyle w:val="Compact"/>
      </w:pPr>
      <w:r>
        <w:rPr>
          <w:bCs/>
          <w:b/>
        </w:rPr>
        <w:t xml:space="preserve">Talent Competition:</w:t>
      </w:r>
      <w:r>
        <w:t xml:space="preserve"> </w:t>
      </w:r>
      <w:r>
        <w:t xml:space="preserve">High demand for experienced Environmental Engineers in Jakarta drives up recruitment costs and retention challenges for our team.</w:t>
      </w:r>
    </w:p>
    <w:bookmarkEnd w:id="24"/>
    <w:bookmarkStart w:id="25" w:name="X4d0e118f1480e71a78ce2a803bca771955c5424"/>
    <w:p>
      <w:pPr>
        <w:pStyle w:val="Heading2"/>
      </w:pPr>
      <w:r>
        <w:t xml:space="preserve">VI. Outlook &amp; Strategic Focus: Q4 2024 &amp; Beyond</w:t>
      </w:r>
    </w:p>
    <w:p>
      <w:pPr>
        <w:pStyle w:val="FirstParagraph"/>
      </w:pPr>
      <w:r>
        <w:t xml:space="preserve">The projected growth trajectory for Environmental Engineering services in Jakarta remains strong, supported by:</w:t>
      </w:r>
    </w:p>
    <w:p>
      <w:pPr>
        <w:numPr>
          <w:ilvl w:val="0"/>
          <w:numId w:val="1005"/>
        </w:numPr>
        <w:pStyle w:val="Compact"/>
      </w:pPr>
      <w:r>
        <w:t xml:space="preserve">Continued enforcement of PP No. 18/2008 and emerging carbon pricing regulations.</w:t>
      </w:r>
    </w:p>
    <w:p>
      <w:pPr>
        <w:numPr>
          <w:ilvl w:val="0"/>
          <w:numId w:val="1005"/>
        </w:numPr>
        <w:pStyle w:val="Compact"/>
      </w:pPr>
      <w:r>
        <w:t xml:space="preserve">DKI Jakarta's ambitious target to become a "Climate Resilient City" by 2030, requiring massive infrastructure investment.</w:t>
      </w:r>
    </w:p>
    <w:p>
      <w:pPr>
        <w:numPr>
          <w:ilvl w:val="0"/>
          <w:numId w:val="1005"/>
        </w:numPr>
        <w:pStyle w:val="Compact"/>
      </w:pPr>
      <w:r>
        <w:t xml:space="preserve">Growing CSR mandates from global brands operating in Indonesia.</w:t>
      </w:r>
    </w:p>
    <w:p>
      <w:pPr>
        <w:pStyle w:val="FirstParagraph"/>
      </w:pPr>
      <w:r>
        <w:t xml:space="preserve">Our strategic focus for Q4 includes:</w:t>
      </w:r>
    </w:p>
    <w:p>
      <w:pPr>
        <w:numPr>
          <w:ilvl w:val="0"/>
          <w:numId w:val="1006"/>
        </w:numPr>
        <w:pStyle w:val="Compact"/>
      </w:pPr>
      <w:r>
        <w:t xml:space="preserve">Expanding the dedicated Jakarta-based Environmental Engineer team to meet rising demand.</w:t>
      </w:r>
    </w:p>
    <w:p>
      <w:pPr>
        <w:numPr>
          <w:ilvl w:val="0"/>
          <w:numId w:val="1006"/>
        </w:numPr>
        <w:pStyle w:val="Compact"/>
      </w:pPr>
      <w:r>
        <w:t xml:space="preserve">Pitching integrated "Sustainable Urban Development" packages targeting new infrastructure projects in Greater Jakarta.</w:t>
      </w:r>
    </w:p>
    <w:p>
      <w:pPr>
        <w:numPr>
          <w:ilvl w:val="0"/>
          <w:numId w:val="1006"/>
        </w:numPr>
        <w:pStyle w:val="Compact"/>
      </w:pPr>
      <w:r>
        <w:t xml:space="preserve">Developing localized case studies showcasing successful Environmental Engineer interventions in Jakarta flood zones and industrial corridors, directly feeding our sales pipeline.</w:t>
      </w:r>
    </w:p>
    <w:bookmarkEnd w:id="25"/>
    <w:bookmarkStart w:id="26" w:name="vii.-conclusion"/>
    <w:p>
      <w:pPr>
        <w:pStyle w:val="Heading2"/>
      </w:pPr>
      <w:r>
        <w:t xml:space="preserve">VII. Conclusion</w:t>
      </w:r>
    </w:p>
    <w:p>
      <w:pPr>
        <w:pStyle w:val="FirstParagraph"/>
      </w:pPr>
      <w:r>
        <w:t xml:space="preserve">The Q3 2024 performance confirms that Environmental Engineering services are not just a necessity but a strategic growth driver for businesses operating within Indonesia Jakarta. Our ability to deliver compliant, site-specific solutions through highly skilled local Environmental Engineers is the cornerstone of our competitive advantage and sales success. As Jakarta grapples with intensifying environmental pressures, the demand for these specialized professionals will continue to surge. Sustained investment in our engineering talent pool and deepening market knowledge within the</w:t>
      </w:r>
      <w:r>
        <w:t xml:space="preserve"> </w:t>
      </w:r>
      <w:r>
        <w:rPr>
          <w:bCs/>
          <w:b/>
        </w:rPr>
        <w:t xml:space="preserve">Indonesia Jakarta</w:t>
      </w:r>
      <w:r>
        <w:t xml:space="preserve"> </w:t>
      </w:r>
      <w:r>
        <w:t xml:space="preserve">context are paramount for capturing future opportunities within this vital sector.</w:t>
      </w:r>
    </w:p>
    <w:p>
      <w:pPr>
        <w:pStyle w:val="BodyText"/>
      </w:pPr>
      <w:r>
        <w:rPr>
          <w:iCs/>
          <w:i/>
        </w:rPr>
        <w:t xml:space="preserve">This report reflects actual sales data from GreenScape Solutions Indonesia (PT. GreenScape Solutions Indonesia) for Q3 2024, covering all projects delivered in DKI Jakarta Province and its immediate metropolitan area.</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Quarterly Sales Report: Environmental Engineering Services in Jakarta</dc:title>
  <dc:creator/>
  <cp:keywords/>
  <dcterms:created xsi:type="dcterms:W3CDTF">2025-12-11T05:46:31Z</dcterms:created>
  <dcterms:modified xsi:type="dcterms:W3CDTF">2025-12-11T05:46:31Z</dcterms:modified>
</cp:coreProperties>
</file>

<file path=docProps/custom.xml><?xml version="1.0" encoding="utf-8"?>
<Properties xmlns="http://schemas.openxmlformats.org/officeDocument/2006/custom-properties" xmlns:vt="http://schemas.openxmlformats.org/officeDocument/2006/docPropsVTypes"/>
</file>