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Sales</w:t>
      </w:r>
      <w:r>
        <w:t xml:space="preserve"> </w:t>
      </w:r>
      <w:r>
        <w:t xml:space="preserve">Report:</w:t>
      </w:r>
      <w:r>
        <w:t xml:space="preserve"> </w:t>
      </w:r>
      <w:r>
        <w:t xml:space="preserve">Iran</w:t>
      </w:r>
      <w:r>
        <w:t xml:space="preserve"> </w:t>
      </w:r>
      <w:r>
        <w:t xml:space="preserve">Tehran</w:t>
      </w:r>
      <w:r>
        <w:t xml:space="preserve"> </w:t>
      </w:r>
      <w:r>
        <w:t xml:space="preserve">Market</w:t>
      </w:r>
      <w:r>
        <w:t xml:space="preserve"> </w:t>
      </w:r>
      <w:r>
        <w:t xml:space="preserve">Analysis</w:t>
      </w:r>
    </w:p>
    <w:bookmarkStart w:id="31" w:name="X7762330b6c7469b7a968d1f4351515669a7ed69"/>
    <w:p>
      <w:pPr>
        <w:pStyle w:val="Heading1"/>
      </w:pPr>
      <w:r>
        <w:t xml:space="preserve">Comprehensive Sales Report: Environmental Engineering Services in Iran Tehran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Strategic Planning Committee</w:t>
      </w:r>
      <w:r>
        <w:br/>
      </w:r>
      <w:r>
        <w:rPr>
          <w:bCs/>
          <w:b/>
        </w:rPr>
        <w:t xml:space="preserve">Prepared By:</w:t>
      </w:r>
      <w:r>
        <w:t xml:space="preserve"> </w:t>
      </w:r>
      <w:r>
        <w:t xml:space="preserve">Sales &amp; Business Development Division, GreenTech Solutions Iran</w:t>
      </w:r>
    </w:p>
    <w:bookmarkStart w:id="20" w:name="i.-executive-summary"/>
    <w:p>
      <w:pPr>
        <w:pStyle w:val="Heading2"/>
      </w:pPr>
      <w:r>
        <w:t xml:space="preserve">I. Executive Summary</w:t>
      </w:r>
    </w:p>
    <w:p>
      <w:pPr>
        <w:pStyle w:val="FirstParagraph"/>
      </w:pPr>
      <w:r>
        <w:t xml:space="preserve">This sales report presents a detailed analysis of environmental engineering service performance across Tehran, Iran during Q3 2023. The Environmental Engineer sales division has achieved remarkable growth with a 37% year-over-year increase in contract acquisitions, solidifying our position as Tehran's leading provider of sustainable infrastructure solutions. With Iran's intensified focus on environmental compliance under new national policies (National Environmental Protection Act 1402), demand for certified Environmental Engineers in Tehran's industrial corridors has reached unprecedented levels. This document outlines strategic market penetration, client acquisition metrics, and future growth pathways critical to our expansion in the Iranian capital.</w:t>
      </w:r>
    </w:p>
    <w:bookmarkEnd w:id="20"/>
    <w:bookmarkStart w:id="21" w:name="X4f452f7d6461e2b81a2a0614a205099820e8052"/>
    <w:p>
      <w:pPr>
        <w:pStyle w:val="Heading2"/>
      </w:pPr>
      <w:r>
        <w:t xml:space="preserve">II. Market Context: Iran Tehran Environmental Engineering Landscape</w:t>
      </w:r>
    </w:p>
    <w:p>
      <w:pPr>
        <w:pStyle w:val="FirstParagraph"/>
      </w:pPr>
      <w:r>
        <w:t xml:space="preserve">Tehran's rapid urbanization (15 million residents) and industrial concentration create immense pressure on environmental systems. The city's air quality index consistently exceeds WHO limits, while wastewater management systems face 40% capacity strain during peak seasons. Recent government mandates require all new construction projects exceeding 50,000 m² to include comprehensive Environmental Impact Assessments (EIAs) conducted by licensed professionals. This regulatory shift has created a $287M market opportunity for Environmental Engineers in Tehran alone, with the public sector accounting for 63% of demand through municipal projects like the Tehran Metro Line 5 expansion and Alborz Mountain ecological restoration initiatives.</w:t>
      </w:r>
    </w:p>
    <w:bookmarkEnd w:id="21"/>
    <w:bookmarkStart w:id="24" w:name="iii.-sales-performance-analysis-q3-2023"/>
    <w:p>
      <w:pPr>
        <w:pStyle w:val="Heading2"/>
      </w:pPr>
      <w:r>
        <w:t xml:space="preserve">III. Sales Performance Analysis: Q3 2023</w:t>
      </w:r>
    </w:p>
    <w:bookmarkStart w:id="22" w:name="a.-quantitative-metrics"/>
    <w:p>
      <w:pPr>
        <w:pStyle w:val="Heading3"/>
      </w:pPr>
      <w:r>
        <w:t xml:space="preserve">A. Quantitative Metrics</w:t>
      </w:r>
    </w:p>
    <w:p>
      <w:pPr>
        <w:pStyle w:val="FirstParagraph"/>
      </w:pPr>
      <w:r>
        <w:t xml:space="preserve">Key Metric</w:t>
      </w:r>
    </w:p>
    <w:p>
      <w:pPr>
        <w:pStyle w:val="BodyText"/>
      </w:pPr>
      <w:r>
        <w:t xml:space="preserve">Q3 2023</w:t>
      </w:r>
    </w:p>
    <w:p>
      <w:pPr>
        <w:pStyle w:val="BodyText"/>
      </w:pPr>
      <w:r>
        <w:t xml:space="preserve">Q2 2023</w:t>
      </w:r>
    </w:p>
    <w:p>
      <w:pPr>
        <w:pStyle w:val="BodyText"/>
      </w:pPr>
      <w:r>
        <w:t xml:space="preserve">YoY Change</w:t>
      </w:r>
    </w:p>
    <w:p>
      <w:pPr>
        <w:pStyle w:val="BodyText"/>
      </w:pPr>
      <w:r>
        <w:t xml:space="preserve">Total Contracts Signed (USD)</w:t>
      </w:r>
    </w:p>
    <w:p>
      <w:pPr>
        <w:pStyle w:val="BodyText"/>
      </w:pPr>
      <w:r>
        <w:t xml:space="preserve">$4.85M</w:t>
      </w:r>
    </w:p>
    <w:p>
      <w:pPr>
        <w:pStyle w:val="BodyText"/>
      </w:pPr>
      <w:r>
        <w:t xml:space="preserve">$3.17M</w:t>
      </w:r>
    </w:p>
    <w:p>
      <w:pPr>
        <w:pStyle w:val="BodyText"/>
      </w:pPr>
      <w:r>
        <w:t xml:space="preserve">+52.9%</w:t>
      </w:r>
    </w:p>
    <w:p>
      <w:pPr>
        <w:pStyle w:val="BodyText"/>
      </w:pPr>
      <w:r>
        <w:t xml:space="preserve">New Clients Acquired</w:t>
      </w:r>
    </w:p>
    <w:p>
      <w:pPr>
        <w:pStyle w:val="BodyText"/>
      </w:pPr>
      <w:r>
        <w:t xml:space="preserve">32</w:t>
      </w:r>
    </w:p>
    <w:p>
      <w:pPr>
        <w:pStyle w:val="BodyText"/>
      </w:pPr>
      <w:r>
        <w:t xml:space="preserve">21</w:t>
      </w:r>
    </w:p>
    <w:p>
      <w:pPr>
        <w:pStyle w:val="BodyText"/>
      </w:pPr>
      <w:r>
        <w:t xml:space="preserve">+52.4%</w:t>
      </w:r>
    </w:p>
    <w:p>
      <w:pPr>
        <w:pStyle w:val="BodyText"/>
      </w:pPr>
      <w:r>
        <w:t xml:space="preserve">91%</w:t>
      </w:r>
    </w:p>
    <w:p>
      <w:pPr>
        <w:pStyle w:val="BodyText"/>
      </w:pPr>
      <w:r>
        <w:t xml:space="preserve">84%</w:t>
      </w:r>
    </w:p>
    <w:p>
      <w:pPr>
        <w:pStyle w:val="BodyText"/>
      </w:pPr>
      <w:r>
        <w:t xml:space="preserve">+7 pts</w:t>
      </w:r>
    </w:p>
    <w:bookmarkEnd w:id="22"/>
    <w:bookmarkStart w:id="23" w:name="b.-sector-specific-performance"/>
    <w:p>
      <w:pPr>
        <w:pStyle w:val="Heading3"/>
      </w:pPr>
      <w:r>
        <w:t xml:space="preserve">B. Sector-Specific Performance</w:t>
      </w:r>
    </w:p>
    <w:p>
      <w:pPr>
        <w:numPr>
          <w:ilvl w:val="0"/>
          <w:numId w:val="1001"/>
        </w:numPr>
        <w:pStyle w:val="Compact"/>
      </w:pPr>
      <w:r>
        <w:rPr>
          <w:bCs/>
          <w:b/>
        </w:rPr>
        <w:t xml:space="preserve">Municipal &amp; Public Works (42% of revenue):</w:t>
      </w:r>
      <w:r>
        <w:t xml:space="preserve"> </w:t>
      </w:r>
      <w:r>
        <w:t xml:space="preserve">14 contracts secured with Tehran Municipality for air quality monitoring networks and wastewater treatment plant upgrades, including the landmark Tehran South Sewage Project ($1.7M).</w:t>
      </w:r>
    </w:p>
    <w:p>
      <w:pPr>
        <w:numPr>
          <w:ilvl w:val="0"/>
          <w:numId w:val="1001"/>
        </w:numPr>
        <w:pStyle w:val="Compact"/>
      </w:pPr>
      <w:r>
        <w:rPr>
          <w:bCs/>
          <w:b/>
        </w:rPr>
        <w:t xml:space="preserve">Industrial Manufacturing (35% of revenue):</w:t>
      </w:r>
      <w:r>
        <w:t xml:space="preserve"> </w:t>
      </w:r>
      <w:r>
        <w:t xml:space="preserve">Strategic partnerships with major automotive plants (Iran Khodro, Saipa) for emissions control systems and hazardous waste management protocols under new Ministry of Industry regulations.</w:t>
      </w:r>
    </w:p>
    <w:p>
      <w:pPr>
        <w:numPr>
          <w:ilvl w:val="0"/>
          <w:numId w:val="1001"/>
        </w:numPr>
        <w:pStyle w:val="Compact"/>
      </w:pPr>
      <w:r>
        <w:t xml:space="preserve">Real Estate Development (23% of revenue):</w:t>
      </w:r>
    </w:p>
    <w:bookmarkEnd w:id="23"/>
    <w:bookmarkEnd w:id="24"/>
    <w:bookmarkStart w:id="25" w:name="Xbd2e153173c7ada702e32372868b178ea147505"/>
    <w:p>
      <w:pPr>
        <w:pStyle w:val="Heading2"/>
      </w:pPr>
      <w:r>
        <w:t xml:space="preserve">IV. Client Acquisition Strategy: Tehran Market Dominance</w:t>
      </w:r>
    </w:p>
    <w:p>
      <w:pPr>
        <w:pStyle w:val="FirstParagraph"/>
      </w:pPr>
      <w:r>
        <w:t xml:space="preserve">Our success in Iran Tehran stems from three pillars of targeted sales strategy:</w:t>
      </w:r>
    </w:p>
    <w:p>
      <w:pPr>
        <w:numPr>
          <w:ilvl w:val="0"/>
          <w:numId w:val="1002"/>
        </w:numPr>
        <w:pStyle w:val="Compact"/>
      </w:pPr>
      <w:r>
        <w:rPr>
          <w:bCs/>
          <w:b/>
        </w:rPr>
        <w:t xml:space="preserve">Regulatory Alignment:</w:t>
      </w:r>
      <w:r>
        <w:t xml:space="preserve"> </w:t>
      </w:r>
      <w:r>
        <w:t xml:space="preserve">Our Environmental Engineers maintain direct certification with Iran's Environmental Protection Organization (EPO). We proactively map municipal tender announcements for environmental compliance requirements, positioning ourselves as mandatory partners for public projects.</w:t>
      </w:r>
    </w:p>
    <w:p>
      <w:pPr>
        <w:numPr>
          <w:ilvl w:val="0"/>
          <w:numId w:val="1002"/>
        </w:numPr>
        <w:pStyle w:val="Compact"/>
      </w:pPr>
      <w:r>
        <w:rPr>
          <w:bCs/>
          <w:b/>
        </w:rPr>
        <w:t xml:space="preserve">Localized Expertise:</w:t>
      </w:r>
      <w:r>
        <w:t xml:space="preserve"> </w:t>
      </w:r>
      <w:r>
        <w:t xml:space="preserve">All Tehran-based Environmental Engineers undergo specialized training in regional challenges: air pollution sources (industrial clusters in Shemiranat), water scarcity patterns (Zayandeh River basin impacts), and seismic risk assessments critical to Tehran's geology.</w:t>
      </w:r>
    </w:p>
    <w:p>
      <w:pPr>
        <w:numPr>
          <w:ilvl w:val="0"/>
          <w:numId w:val="1002"/>
        </w:numPr>
        <w:pStyle w:val="Compact"/>
      </w:pPr>
      <w:r>
        <w:rPr>
          <w:bCs/>
          <w:b/>
        </w:rPr>
        <w:t xml:space="preserve">Public-Private Partnerships:</w:t>
      </w:r>
      <w:r>
        <w:t xml:space="preserve"> </w:t>
      </w:r>
      <w:r>
        <w:t xml:space="preserve">Collaborated with Tehran University of Science &amp; Technology to establish the Environmental Engineering Innovation Hub, resulting in 17 client referrals through academic-industry knowledge transfer programs.</w:t>
      </w:r>
    </w:p>
    <w:bookmarkEnd w:id="25"/>
    <w:bookmarkStart w:id="28" w:name="v.-challenges-strategic-solutions"/>
    <w:p>
      <w:pPr>
        <w:pStyle w:val="Heading2"/>
      </w:pPr>
      <w:r>
        <w:t xml:space="preserve">V. Challenges &amp; Strategic Solutions</w:t>
      </w:r>
    </w:p>
    <w:bookmarkStart w:id="26" w:name="X5420466b00dd3c22052067f91399f1c468fe5a1"/>
    <w:p>
      <w:pPr>
        <w:pStyle w:val="Heading3"/>
      </w:pPr>
      <w:r>
        <w:t xml:space="preserve">A. Key Obstacles Identified in Iran Tehran Market</w:t>
      </w:r>
    </w:p>
    <w:p>
      <w:pPr>
        <w:numPr>
          <w:ilvl w:val="0"/>
          <w:numId w:val="1003"/>
        </w:numPr>
        <w:pStyle w:val="Compact"/>
      </w:pPr>
      <w:r>
        <w:rPr>
          <w:bCs/>
          <w:b/>
        </w:rPr>
        <w:t xml:space="preserve">Regulatory Fragmentation:</w:t>
      </w:r>
      <w:r>
        <w:t xml:space="preserve"> </w:t>
      </w:r>
      <w:r>
        <w:t xml:space="preserve">Over 14 different municipal departments issue environmental permits, creating complex approval pathways.</w:t>
      </w:r>
    </w:p>
    <w:p>
      <w:pPr>
        <w:numPr>
          <w:ilvl w:val="0"/>
          <w:numId w:val="1003"/>
        </w:numPr>
        <w:pStyle w:val="Compact"/>
      </w:pPr>
      <w:r>
        <w:rPr>
          <w:bCs/>
          <w:b/>
        </w:rPr>
        <w:t xml:space="preserve">Talent Shortage:</w:t>
      </w:r>
      <w:r>
        <w:t xml:space="preserve"> </w:t>
      </w:r>
      <w:r>
        <w:t xml:space="preserve">Only 128 certified Environmental Engineers operate across all of Tehran despite market demand exceeding 400 specialists.</w:t>
      </w:r>
    </w:p>
    <w:p>
      <w:pPr>
        <w:numPr>
          <w:ilvl w:val="0"/>
          <w:numId w:val="1003"/>
        </w:numPr>
        <w:pStyle w:val="Compact"/>
      </w:pPr>
      <w:r>
        <w:rPr>
          <w:bCs/>
          <w:b/>
        </w:rPr>
        <w:t xml:space="preserve">Client Budget Constraints:</w:t>
      </w:r>
      <w:r>
        <w:t xml:space="preserve"> </w:t>
      </w:r>
      <w:r>
        <w:t xml:space="preserve">Municipal funding delays for environmental projects due to economic sanctions impact payment cycles.</w:t>
      </w:r>
    </w:p>
    <w:bookmarkEnd w:id="26"/>
    <w:bookmarkStart w:id="27" w:name="X2c185b4aceadfa1c64b5d87832f54124467929f"/>
    <w:p>
      <w:pPr>
        <w:pStyle w:val="Heading3"/>
      </w:pPr>
      <w:r>
        <w:t xml:space="preserve">B. Implementing Effective Countermeasures</w:t>
      </w:r>
    </w:p>
    <w:p>
      <w:pPr>
        <w:numPr>
          <w:ilvl w:val="0"/>
          <w:numId w:val="1004"/>
        </w:numPr>
        <w:pStyle w:val="Compact"/>
      </w:pPr>
      <w:r>
        <w:t xml:space="preserve">Launched the Tehran Compliance Navigator – an AI-driven portal tracking real-time regulatory updates across 17 municipal departments, reducing proposal preparation time by 65%.</w:t>
      </w:r>
    </w:p>
    <w:p>
      <w:pPr>
        <w:numPr>
          <w:ilvl w:val="0"/>
          <w:numId w:val="1004"/>
        </w:numPr>
        <w:pStyle w:val="Compact"/>
      </w:pPr>
      <w:r>
        <w:t xml:space="preserve">Established "Environmental Engineer Talent Pipeline" with Iran University of Science &amp; Technology: Co-funded master's program for 30 students with guaranteed industry placement, targeting 20 new hires annually.</w:t>
      </w:r>
    </w:p>
    <w:p>
      <w:pPr>
        <w:numPr>
          <w:ilvl w:val="0"/>
          <w:numId w:val="1004"/>
        </w:numPr>
        <w:pStyle w:val="Compact"/>
      </w:pPr>
      <w:r>
        <w:t xml:space="preserve">Introduced Tiered Payment Schemes for public sector clients (30% upfront, 40% upon EIA approval, 30% at project completion) to mitigate cash flow risks during economic volatility.</w:t>
      </w:r>
    </w:p>
    <w:bookmarkEnd w:id="27"/>
    <w:bookmarkEnd w:id="28"/>
    <w:bookmarkStart w:id="29" w:name="X1296601046c94a4de71a1cfaabbb79bf3e39a97"/>
    <w:p>
      <w:pPr>
        <w:pStyle w:val="Heading2"/>
      </w:pPr>
      <w:r>
        <w:t xml:space="preserve">VI. Future Outlook: Strategic Growth in Iran Tehran</w:t>
      </w:r>
    </w:p>
    <w:p>
      <w:pPr>
        <w:pStyle w:val="FirstParagraph"/>
      </w:pPr>
      <w:r>
        <w:t xml:space="preserve">The Iran Tehran Environmental Engineering market is projected to grow at 18.7% CAGR through 2026, driven by three key catalysts:</w:t>
      </w:r>
    </w:p>
    <w:p>
      <w:pPr>
        <w:numPr>
          <w:ilvl w:val="0"/>
          <w:numId w:val="1005"/>
        </w:numPr>
        <w:pStyle w:val="Compact"/>
      </w:pPr>
      <w:r>
        <w:rPr>
          <w:bCs/>
          <w:b/>
        </w:rPr>
        <w:t xml:space="preserve">National Green New Deal:</w:t>
      </w:r>
      <w:r>
        <w:t xml:space="preserve"> </w:t>
      </w:r>
      <w:r>
        <w:t xml:space="preserve">Government's $5B investment in urban ecology projects (including Tehran's "Green Belt" initiative) creates immediate demand for 120+ Environmental Engineers.</w:t>
      </w:r>
    </w:p>
    <w:p>
      <w:pPr>
        <w:numPr>
          <w:ilvl w:val="0"/>
          <w:numId w:val="1005"/>
        </w:numPr>
        <w:pStyle w:val="Compact"/>
      </w:pPr>
      <w:r>
        <w:rPr>
          <w:bCs/>
          <w:b/>
        </w:rPr>
        <w:t xml:space="preserve">International Compliance Pressures:</w:t>
      </w:r>
      <w:r>
        <w:t xml:space="preserve"> </w:t>
      </w:r>
      <w:r>
        <w:t xml:space="preserve">UNDP-backed environmental governance framework requiring all Iranian export manufacturers to implement EIA systems by Q2 2025.</w:t>
      </w:r>
    </w:p>
    <w:p>
      <w:pPr>
        <w:numPr>
          <w:ilvl w:val="0"/>
          <w:numId w:val="1005"/>
        </w:numPr>
        <w:pStyle w:val="Compact"/>
      </w:pPr>
      <w:r>
        <w:rPr>
          <w:bCs/>
          <w:b/>
        </w:rPr>
        <w:t xml:space="preserve">Tehran Air Quality Action Plan:</w:t>
      </w:r>
      <w:r>
        <w:t xml:space="preserve"> </w:t>
      </w:r>
      <w:r>
        <w:t xml:space="preserve">Mandatory real-time pollution monitoring for industrial zones, generating $143M in annual service contracts.</w:t>
      </w:r>
    </w:p>
    <w:p>
      <w:pPr>
        <w:pStyle w:val="FirstParagraph"/>
      </w:pPr>
      <w:r>
        <w:t xml:space="preserve">We project securing 45+ new contracts in Q4 2023 with a target value of $6.2M, including the critical Tehran Metro Air Quality Management System (project valuation: $980K). Our strategy centers on expanding Environmental Engineer capacity within Tehran to 175 specialists by December 2024, supported by the recently inaugurated GreenTech Solutions Iran Training Center in Karaj.</w:t>
      </w:r>
    </w:p>
    <w:bookmarkEnd w:id="29"/>
    <w:bookmarkStart w:id="30" w:name="vii.-conclusion"/>
    <w:p>
      <w:pPr>
        <w:pStyle w:val="Heading2"/>
      </w:pPr>
      <w:r>
        <w:t xml:space="preserve">VII. Conclusion</w:t>
      </w:r>
    </w:p>
    <w:p>
      <w:pPr>
        <w:pStyle w:val="FirstParagraph"/>
      </w:pPr>
      <w:r>
        <w:t xml:space="preserve">The Environmental Engineer sales trajectory in Iran Tehran demonstrates exceptional market responsiveness to national sustainability imperatives. Our data-driven approach—aligning regulatory intelligence with localized technical expertise—has positioned GreenTech Solutions as the preferred environmental engineering partner for Tehran's most critical infrastructure projects. As Iran intensifies its environmental governance framework, the strategic imperative for certified Environmental Engineers grows exponentially. We stand ready to capitalize on this momentum through targeted talent acquisition, innovation in compliance technology, and deepening public-sector relationships across Tehran's urban landscape. This Sales Report confirms that our current growth trajectory is not only sustainable but foundational to Iran's environmental future.</w:t>
      </w:r>
    </w:p>
    <w:p>
      <w:pPr>
        <w:pStyle w:val="BodyText"/>
      </w:pPr>
      <w:r>
        <w:rPr>
          <w:bCs/>
          <w:b/>
        </w:rPr>
        <w:t xml:space="preserve">Appendix: Key Performance Indicators</w:t>
      </w:r>
    </w:p>
    <w:p>
      <w:pPr>
        <w:numPr>
          <w:ilvl w:val="0"/>
          <w:numId w:val="1006"/>
        </w:numPr>
        <w:pStyle w:val="Compact"/>
      </w:pPr>
      <w:r>
        <w:t xml:space="preserve">Client Retention Rate (Tehran): 94%</w:t>
      </w:r>
    </w:p>
    <w:p>
      <w:pPr>
        <w:numPr>
          <w:ilvl w:val="0"/>
          <w:numId w:val="1006"/>
        </w:numPr>
        <w:pStyle w:val="Compact"/>
      </w:pPr>
      <w:r>
        <w:t xml:space="preserve">Average Contract Value: $152,000</w:t>
      </w:r>
    </w:p>
    <w:p>
      <w:pPr>
        <w:numPr>
          <w:ilvl w:val="0"/>
          <w:numId w:val="1006"/>
        </w:numPr>
        <w:pStyle w:val="Compact"/>
      </w:pPr>
      <w:r>
        <w:t xml:space="preserve">Environmental Engineer Certification Compliance: 100% (EPO-registered)</w:t>
      </w:r>
    </w:p>
    <w:p>
      <w:pPr>
        <w:numPr>
          <w:ilvl w:val="0"/>
          <w:numId w:val="1006"/>
        </w:numPr>
        <w:pStyle w:val="Compact"/>
      </w:pPr>
      <w:r>
        <w:t xml:space="preserve">Tehran Market Share Growth: +28% (vs. Q3 2022)</w:t>
      </w:r>
    </w:p>
    <w:p>
      <w:pPr>
        <w:pStyle w:val="FirstParagraph"/>
      </w:pPr>
      <w:r>
        <w:rPr>
          <w:iCs/>
          <w:i/>
        </w:rPr>
        <w:t xml:space="preserve">GreenTech Solutions Iran – Building Sustainable Futures for Tehran, One Environmental Engineer at a Time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Sales Report: Iran Tehran Market Analysis</dc:title>
  <dc:creator/>
  <dc:language>en</dc:language>
  <cp:keywords/>
  <dcterms:created xsi:type="dcterms:W3CDTF">2026-07-15T03:57:15Z</dcterms:created>
  <dcterms:modified xsi:type="dcterms:W3CDTF">2026-07-15T03:57:15Z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