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Tel</w:t>
      </w:r>
      <w:r>
        <w:t xml:space="preserve"> </w:t>
      </w:r>
      <w:r>
        <w:t xml:space="preserve">Aviv,</w:t>
      </w:r>
      <w:r>
        <w:t xml:space="preserve"> </w:t>
      </w:r>
      <w:r>
        <w:t xml:space="preserve">Israel</w:t>
      </w:r>
    </w:p>
    <w:bookmarkStart w:id="27" w:name="X49d9fc85c9ea55eba08202315d02b7a330b1601"/>
    <w:p>
      <w:pPr>
        <w:pStyle w:val="Heading1"/>
      </w:pPr>
      <w:r>
        <w:t xml:space="preserve">Sales Report: Environmental Engineering Solutions for Sustainable Growth in Tel Aviv, Israel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Region Covered:</w:t>
      </w:r>
      <w:r>
        <w:t xml:space="preserve"> </w:t>
      </w:r>
      <w:r>
        <w:t xml:space="preserve">Tel Aviv-Yafo and Metropolitan Israel</w:t>
      </w:r>
    </w:p>
    <w:bookmarkStart w:id="20" w:name="executive-summary"/>
    <w:p>
      <w:pPr>
        <w:pStyle w:val="Heading2"/>
      </w:pPr>
      <w:r>
        <w:t xml:space="preserve">Executive Summary</w:t>
      </w:r>
    </w:p>
    <w:p>
      <w:pPr>
        <w:pStyle w:val="FirstParagraph"/>
      </w:pPr>
      <w:r>
        <w:t xml:space="preserve">This report details the performance of our Environmental Engineering services across Tel Aviv, Israel, for Q3 2023. The Tel Aviv market has demonstrated robust demand for sustainable infrastructure solutions, driven by stringent national environmental regulations (e.g., Israel’s National Environment Protection Law), municipal climate action plans (Tel Aviv-Yafo’s</w:t>
      </w:r>
      <w:r>
        <w:t xml:space="preserve"> </w:t>
      </w:r>
      <w:r>
        <w:rPr>
          <w:iCs/>
          <w:i/>
        </w:rPr>
        <w:t xml:space="preserve">Green City Initiative</w:t>
      </w:r>
      <w:r>
        <w:t xml:space="preserve">), and corporate ESG commitments. Our team of certified Environmental Engineers delivered a 27% year-over-year revenue increase, securing contracts with 14 key clients including municipal bodies, real estate developers, and industrial conglomerates. This success underscores Tel Aviv’s position as Israel’s epicenter for environmental innovation—and our strategic alignment with the city’s sustainability goals.</w:t>
      </w:r>
    </w:p>
    <w:bookmarkEnd w:id="20"/>
    <w:bookmarkStart w:id="21" w:name="X51e7ea4c19d86e43322cf6209d0f6b5272150c9"/>
    <w:p>
      <w:pPr>
        <w:pStyle w:val="Heading2"/>
      </w:pPr>
      <w:r>
        <w:t xml:space="preserve">Market Analysis: Environmental Engineering Demand in Tel Aviv</w:t>
      </w:r>
    </w:p>
    <w:p>
      <w:pPr>
        <w:pStyle w:val="FirstParagraph"/>
      </w:pPr>
      <w:r>
        <w:t xml:space="preserve">Tel Aviv faces unique environmental challenges requiring specialized expertise: coastal erosion along the Mediterranean, water scarcity (addressed via Israel’s advanced desalination network), urban heat island effects, and rapid high-rise development. The Tel Aviv-Yafo Municipality has allocated ₪450 million for sustainability projects in 2023 alone—including green infrastructure retrofits and waste-to-energy systems—creating a fertile market for Environmental Engineers.</w:t>
      </w:r>
    </w:p>
    <w:p>
      <w:pPr>
        <w:pStyle w:val="BodyText"/>
      </w:pPr>
      <w:r>
        <w:t xml:space="preserve">Our sales data confirms this: 68% of new contracts directly support Tel Aviv’s climate resilience targets. For instance, the recent</w:t>
      </w:r>
      <w:r>
        <w:t xml:space="preserve"> </w:t>
      </w:r>
      <w:r>
        <w:rPr>
          <w:iCs/>
          <w:i/>
        </w:rPr>
        <w:t xml:space="preserve">Ramat Gan Watershed Project</w:t>
      </w:r>
      <w:r>
        <w:t xml:space="preserve"> </w:t>
      </w:r>
      <w:r>
        <w:t xml:space="preserve">(serving Tel Aviv’s northern suburbs) required our Environmental Engineers to design flood mitigation systems compliant with Israel’s Ministry of Environmental Protection standards. Similarly, the</w:t>
      </w:r>
      <w:r>
        <w:t xml:space="preserve"> </w:t>
      </w:r>
      <w:r>
        <w:rPr>
          <w:iCs/>
          <w:i/>
        </w:rPr>
        <w:t xml:space="preserve">Tel Aviv Port Renewal Initiative</w:t>
      </w:r>
      <w:r>
        <w:t xml:space="preserve"> </w:t>
      </w:r>
      <w:r>
        <w:t xml:space="preserve">mandated circular economy strategies—where our engineers optimized material reuse for 82% of construction waste.</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w:t>
            </w:r>
          </w:p>
        </w:tc>
        <w:tc>
          <w:tcPr/>
          <w:p>
            <w:pPr>
              <w:pStyle w:val="Compact"/>
              <w:jc w:val="left"/>
            </w:pPr>
            <w:r>
              <w:t xml:space="preserve">% YoY Growth</w:t>
            </w:r>
          </w:p>
        </w:tc>
        <w:tc>
          <w:tcPr/>
          <w:p>
            <w:pPr>
              <w:pStyle w:val="Compact"/>
              <w:jc w:val="left"/>
            </w:pPr>
            <w:r>
              <w:t xml:space="preserve">Key Tel Aviv Clients</w:t>
            </w:r>
          </w:p>
        </w:tc>
      </w:tr>
      <w:tr>
        <w:tc>
          <w:tcPr/>
          <w:p>
            <w:pPr>
              <w:pStyle w:val="Compact"/>
              <w:jc w:val="left"/>
            </w:pPr>
            <w:r>
              <w:t xml:space="preserve">Sustainable Water Management</w:t>
            </w:r>
          </w:p>
        </w:tc>
        <w:tc>
          <w:tcPr/>
          <w:p>
            <w:pPr>
              <w:pStyle w:val="Compact"/>
              <w:jc w:val="left"/>
            </w:pPr>
            <w:r>
              <w:t xml:space="preserve">1,245,000</w:t>
            </w:r>
          </w:p>
        </w:tc>
        <w:tc>
          <w:tcPr/>
          <w:p>
            <w:pPr>
              <w:pStyle w:val="Compact"/>
              <w:jc w:val="left"/>
            </w:pPr>
            <w:r>
              <w:t xml:space="preserve">+39%</w:t>
            </w:r>
          </w:p>
        </w:tc>
        <w:tc>
          <w:tcPr/>
          <w:p>
            <w:pPr>
              <w:pStyle w:val="Compact"/>
              <w:jc w:val="left"/>
            </w:pPr>
            <w:r>
              <w:t xml:space="preserve">Tel Aviv-Yafo Municipality (Coastal Drainage System), Sde Boker Energy</w:t>
            </w:r>
          </w:p>
        </w:tc>
      </w:tr>
      <w:tr>
        <w:tc>
          <w:tcPr/>
          <w:p>
            <w:pPr>
              <w:pStyle w:val="Compact"/>
              <w:jc w:val="left"/>
            </w:pPr>
            <w:r>
              <w:t xml:space="preserve">Urban Air Quality Compliance</w:t>
            </w:r>
          </w:p>
        </w:tc>
        <w:tc>
          <w:tcPr/>
          <w:p>
            <w:pPr>
              <w:pStyle w:val="Compact"/>
              <w:jc w:val="left"/>
            </w:pPr>
            <w:r>
              <w:t xml:space="preserve">872,500</w:t>
            </w:r>
          </w:p>
        </w:tc>
        <w:tc>
          <w:tcPr/>
          <w:p>
            <w:pPr>
              <w:pStyle w:val="Compact"/>
              <w:jc w:val="left"/>
            </w:pPr>
            <w:r>
              <w:t xml:space="preserve">+22%</w:t>
            </w:r>
          </w:p>
        </w:tc>
        <w:tc>
          <w:tcPr/>
          <w:p>
            <w:pPr>
              <w:pStyle w:val="Compact"/>
              <w:jc w:val="left"/>
            </w:pPr>
            <w:r>
              <w:t xml:space="preserve">Ashdod Port Authority (Tel Aviv Metro Integration), TAU Campus Expansion</w:t>
            </w:r>
          </w:p>
        </w:tc>
      </w:tr>
      <w:tr>
        <w:tc>
          <w:tcPr/>
          <w:p>
            <w:pPr>
              <w:pStyle w:val="Compact"/>
              <w:jc w:val="left"/>
            </w:pPr>
            <w:r>
              <w:t xml:space="preserve">Waste-to-Energy Solutions</w:t>
            </w:r>
          </w:p>
        </w:tc>
        <w:tc>
          <w:tcPr/>
          <w:p>
            <w:pPr>
              <w:pStyle w:val="Compact"/>
              <w:jc w:val="left"/>
            </w:pPr>
            <w:r>
              <w:t xml:space="preserve">1,158,300</w:t>
            </w:r>
          </w:p>
        </w:tc>
        <w:tc>
          <w:tcPr/>
          <w:p>
            <w:pPr>
              <w:pStyle w:val="Compact"/>
              <w:jc w:val="left"/>
            </w:pPr>
            <w:r>
              <w:t xml:space="preserve">+41%</w:t>
            </w:r>
          </w:p>
        </w:tc>
        <w:tc>
          <w:tcPr/>
          <w:p>
            <w:pPr>
              <w:pStyle w:val="Compact"/>
              <w:jc w:val="left"/>
            </w:pPr>
            <w:r>
              <w:t xml:space="preserve">Tel Aviv Real Estate Consortium, Bnei Brak Industrial Park</w:t>
            </w:r>
          </w:p>
        </w:tc>
      </w:tr>
      <w:tr>
        <w:tc>
          <w:tcPr/>
          <w:p>
            <w:pPr>
              <w:pStyle w:val="Compact"/>
              <w:jc w:val="left"/>
            </w:pPr>
            <w:r>
              <w:t xml:space="preserve">Total Revenue (Tel Aviv Region)</w:t>
            </w:r>
          </w:p>
        </w:tc>
        <w:tc>
          <w:tcPr/>
          <w:p>
            <w:pPr>
              <w:pStyle w:val="Compact"/>
              <w:jc w:val="left"/>
            </w:pPr>
            <w:r>
              <w:t xml:space="preserve">3,275,800</w:t>
            </w:r>
          </w:p>
        </w:tc>
        <w:tc>
          <w:tcPr/>
          <w:p>
            <w:pPr>
              <w:pStyle w:val="Compact"/>
              <w:jc w:val="left"/>
            </w:pPr>
            <w:r>
              <w:rPr>
                <w:bCs/>
                <w:b/>
              </w:rPr>
              <w:t xml:space="preserve">27% Avg. YoY</w:t>
            </w:r>
          </w:p>
        </w:tc>
        <w:tc>
          <w:tcPr/>
          <w:p>
            <w:pPr>
              <w:pStyle w:val="Compact"/>
              <w:jc w:val="left"/>
            </w:pPr>
            <w:r>
              <w:t xml:space="preserve">All projects delivered within 90-day municipal deadlines.</w:t>
            </w:r>
          </w:p>
        </w:tc>
      </w:tr>
    </w:tbl>
    <w:bookmarkEnd w:id="22"/>
    <w:bookmarkStart w:id="23" w:name="X9913f0abd6ad5c5e3196e36b3a8267899e26537"/>
    <w:p>
      <w:pPr>
        <w:pStyle w:val="Heading2"/>
      </w:pPr>
      <w:r>
        <w:t xml:space="preserve">Strategic Initiatives Driving Sales in Israel’s Tel Aviv Market</w:t>
      </w:r>
    </w:p>
    <w:p>
      <w:pPr>
        <w:pStyle w:val="FirstParagraph"/>
      </w:pPr>
      <w:r>
        <w:t xml:space="preserve">Our Environmental Engineers are not just technical consultants—they are embedded partners in Tel Aviv’s sustainability ecosystem. Key initiatives include:</w:t>
      </w:r>
    </w:p>
    <w:p>
      <w:pPr>
        <w:numPr>
          <w:ilvl w:val="0"/>
          <w:numId w:val="1001"/>
        </w:numPr>
        <w:pStyle w:val="Compact"/>
      </w:pPr>
      <w:r>
        <w:rPr>
          <w:bCs/>
          <w:b/>
        </w:rPr>
        <w:t xml:space="preserve">Municipal Partnership Program:</w:t>
      </w:r>
      <w:r>
        <w:t xml:space="preserve"> </w:t>
      </w:r>
      <w:r>
        <w:t xml:space="preserve">We co-developed a 5-year framework with the Tel Aviv-Yafo City Council to reduce urban carbon emissions by 30% by 2030. This includes training city engineers in Israel’s latest air quality modeling tools (e.g., AERMOD software), directly boosting our sales pipeline.</w:t>
      </w:r>
    </w:p>
    <w:p>
      <w:pPr>
        <w:numPr>
          <w:ilvl w:val="0"/>
          <w:numId w:val="1001"/>
        </w:numPr>
        <w:pStyle w:val="Compact"/>
      </w:pPr>
      <w:r>
        <w:rPr>
          <w:bCs/>
          <w:b/>
        </w:rPr>
        <w:t xml:space="preserve">Water Resilience Task Force:</w:t>
      </w:r>
      <w:r>
        <w:t xml:space="preserve"> </w:t>
      </w:r>
      <w:r>
        <w:t xml:space="preserve">Partnering with the Israeli Water Authority, our Environmental Engineers designed a pilot rainwater harvesting system for Tel Aviv’s 200+ commercial buildings—proven to cut municipal water use by 18% in testing. This resulted in 7 new contracts with real estate firms.</w:t>
      </w:r>
    </w:p>
    <w:p>
      <w:pPr>
        <w:numPr>
          <w:ilvl w:val="0"/>
          <w:numId w:val="1001"/>
        </w:numPr>
        <w:pStyle w:val="Compact"/>
      </w:pPr>
      <w:r>
        <w:rPr>
          <w:bCs/>
          <w:b/>
        </w:rPr>
        <w:t xml:space="preserve">ESG Compliance Acceleration:</w:t>
      </w:r>
      <w:r>
        <w:t xml:space="preserve"> </w:t>
      </w:r>
      <w:r>
        <w:t xml:space="preserve">With Israel’s Corporate Sustainability Reporting Law (effective Jan 2024), we offer tailored Environmental Engineering audits for Tel Aviv-based Fortune 500 subsidiaries. These services now represent 35% of our total sales in the region.</w:t>
      </w:r>
    </w:p>
    <w:bookmarkEnd w:id="23"/>
    <w:bookmarkStart w:id="24" w:name="X5bb0488e91635259b7eb91d7c4f3b59976f9831"/>
    <w:p>
      <w:pPr>
        <w:pStyle w:val="Heading2"/>
      </w:pPr>
      <w:r>
        <w:t xml:space="preserve">Challenges and Opportunities in the Tel Aviv Environment</w:t>
      </w:r>
    </w:p>
    <w:p>
      <w:pPr>
        <w:pStyle w:val="FirstParagraph"/>
      </w:pPr>
      <w:r>
        <w:t xml:space="preserve">While demand is strong, we face two critical challenges specific to Israel’s largest city:</w:t>
      </w:r>
    </w:p>
    <w:p>
      <w:pPr>
        <w:numPr>
          <w:ilvl w:val="0"/>
          <w:numId w:val="1002"/>
        </w:numPr>
        <w:pStyle w:val="Compact"/>
      </w:pPr>
      <w:r>
        <w:rPr>
          <w:bCs/>
          <w:b/>
        </w:rPr>
        <w:t xml:space="preserve">Regulatory Complexity:</w:t>
      </w:r>
      <w:r>
        <w:t xml:space="preserve"> </w:t>
      </w:r>
      <w:r>
        <w:t xml:space="preserve">Navigating overlapping municipal (Tel Aviv-Yafo), regional (Sharon), and national (Israel Ministry of Environmental Protection) regulations requires deep local expertise. Our Environmental Engineers now complete mandatory certification in Israeli environmental law—reducing compliance delays by 40%.</w:t>
      </w:r>
    </w:p>
    <w:p>
      <w:pPr>
        <w:numPr>
          <w:ilvl w:val="0"/>
          <w:numId w:val="1002"/>
        </w:numPr>
        <w:pStyle w:val="Compact"/>
      </w:pPr>
      <w:r>
        <w:rPr>
          <w:bCs/>
          <w:b/>
        </w:rPr>
        <w:t xml:space="preserve">Competition:</w:t>
      </w:r>
      <w:r>
        <w:t xml:space="preserve"> </w:t>
      </w:r>
      <w:r>
        <w:t xml:space="preserve">Tel Aviv’s booming green tech sector has intensified competition from international firms. We counter this by emphasizing our on-ground presence: all project managers are based in Tel Aviv, with local Hebrew/Arabic bilingual capabilities—critical for community engagement in diverse neighborhoods like Neve Tzedek and Jaffa.</w:t>
      </w:r>
    </w:p>
    <w:p>
      <w:pPr>
        <w:pStyle w:val="FirstParagraph"/>
      </w:pPr>
      <w:r>
        <w:t xml:space="preserve">Opportunities outweigh challenges. Tel Aviv’s 2050 carbon-neutral roadmap includes a ₪1.2 billion investment in sustainable mobility (e-bus fleets, EV infrastructure), where our Environmental Engineers can lead lifecycle assessments for battery recycling facilities. Additionally, the city’s</w:t>
      </w:r>
      <w:r>
        <w:t xml:space="preserve"> </w:t>
      </w:r>
      <w:r>
        <w:rPr>
          <w:iCs/>
          <w:i/>
        </w:rPr>
        <w:t xml:space="preserve">Green Roofs Program</w:t>
      </w:r>
      <w:r>
        <w:t xml:space="preserve"> </w:t>
      </w:r>
      <w:r>
        <w:t xml:space="preserve">(mandating 30% green cover on new buildings) opens a ₪210 million market annually—already securing 5 pilot contracts from major developers.</w:t>
      </w:r>
    </w:p>
    <w:bookmarkEnd w:id="24"/>
    <w:bookmarkStart w:id="25" w:name="Xa3c7a2cb7e6e046e6f168e7f271da4d1fde05b1"/>
    <w:p>
      <w:pPr>
        <w:pStyle w:val="Heading2"/>
      </w:pPr>
      <w:r>
        <w:t xml:space="preserve">Future Outlook: Scaling Environmental Engineering in Tel Aviv</w:t>
      </w:r>
    </w:p>
    <w:p>
      <w:pPr>
        <w:pStyle w:val="FirstParagraph"/>
      </w:pPr>
      <w:r>
        <w:t xml:space="preserve">We project 35% revenue growth for Tel Aviv in Q4 2023, fueled by:</w:t>
      </w:r>
    </w:p>
    <w:p>
      <w:pPr>
        <w:numPr>
          <w:ilvl w:val="0"/>
          <w:numId w:val="1003"/>
        </w:numPr>
        <w:pStyle w:val="Compact"/>
      </w:pPr>
      <w:r>
        <w:t xml:space="preserve">Upcoming tender announcements from the Israel Infrastructure Ministry for wastewater treatment upgrades across metropolitan Tel Aviv.</w:t>
      </w:r>
    </w:p>
    <w:p>
      <w:pPr>
        <w:numPr>
          <w:ilvl w:val="0"/>
          <w:numId w:val="1003"/>
        </w:numPr>
        <w:pStyle w:val="Compact"/>
      </w:pPr>
      <w:r>
        <w:t xml:space="preserve">Expanding partnerships with Israeli universities (e.g., Technion, TAU) on environmental engineering research grants—turning academic projects into commercial contracts.</w:t>
      </w:r>
    </w:p>
    <w:p>
      <w:pPr>
        <w:numPr>
          <w:ilvl w:val="0"/>
          <w:numId w:val="1003"/>
        </w:numPr>
        <w:pStyle w:val="Compact"/>
      </w:pPr>
      <w:r>
        <w:t xml:space="preserve">Prioritizing women-led environmental consulting firms in Tel Aviv under Israel’s "Green Women Network" initiative—a government-backed program driving 30% of municipal green spend.</w:t>
      </w:r>
    </w:p>
    <w:p>
      <w:pPr>
        <w:pStyle w:val="FirstParagraph"/>
      </w:pPr>
      <w:r>
        <w:t xml:space="preserve">Crucially, every Environmental Engineer on our Tel Aviv team now undergoes mandatory training on Israel’s specific climate vulnerabilities (e.g., drought cycles, air pollution from cross-border sources). This local expertise directly translates to client trust: 92% of Q3 clients cited "deep understanding of Tel Aviv’s environmental context" as their primary decision driver.</w:t>
      </w:r>
    </w:p>
    <w:bookmarkEnd w:id="25"/>
    <w:bookmarkStart w:id="26" w:name="conclusion"/>
    <w:p>
      <w:pPr>
        <w:pStyle w:val="Heading2"/>
      </w:pPr>
      <w:r>
        <w:t xml:space="preserve">Conclusion</w:t>
      </w:r>
    </w:p>
    <w:p>
      <w:pPr>
        <w:pStyle w:val="FirstParagraph"/>
      </w:pPr>
      <w:r>
        <w:t xml:space="preserve">The Environmental Engineering market in Israel Tel Aviv is not just growing—it is redefining urban sustainability. Our sales performance this quarter proves that tailored, locally grounded solutions win contracts. As Tel Aviv accelerates its journey toward climate resilience, our team of Environmental Engineers stands ready to deliver the technical rigor and community insight that only an Israeli-based firm can provide. We recommend doubling down on municipal partnerships and water innovation to capture the ₪3 billion opportunity in Tel Aviv’s sustainability infrastructure by 2025.</w:t>
      </w:r>
    </w:p>
    <w:p>
      <w:pPr>
        <w:pStyle w:val="BodyText"/>
      </w:pPr>
      <w:r>
        <w:rPr>
          <w:bCs/>
          <w:b/>
        </w:rPr>
        <w:t xml:space="preserve">Prepared By:</w:t>
      </w:r>
      <w:r>
        <w:t xml:space="preserve"> </w:t>
      </w:r>
      <w:r>
        <w:t xml:space="preserve">Global Sustainability Solutions Group</w:t>
      </w:r>
      <w:r>
        <w:br/>
      </w:r>
      <w:r>
        <w:rPr>
          <w:bCs/>
          <w:b/>
        </w:rPr>
        <w:t xml:space="preserve">Location:</w:t>
      </w:r>
      <w:r>
        <w:t xml:space="preserve"> </w:t>
      </w:r>
      <w:r>
        <w:t xml:space="preserve">Tel Aviv-Jaffa, Israel</w:t>
      </w:r>
      <w:r>
        <w:br/>
      </w:r>
      <w:r>
        <w:rPr>
          <w:iCs/>
          <w:i/>
        </w:rPr>
        <w:t xml:space="preserve">"Engineering a greener future—grounded in the heart of Israel."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Engineering Services in Tel Aviv, Israel</dc:title>
  <dc:creator/>
  <cp:keywords/>
  <dcterms:created xsi:type="dcterms:W3CDTF">2025-12-09T14:15:01Z</dcterms:created>
  <dcterms:modified xsi:type="dcterms:W3CDTF">2025-12-09T14:15:01Z</dcterms:modified>
</cp:coreProperties>
</file>

<file path=docProps/custom.xml><?xml version="1.0" encoding="utf-8"?>
<Properties xmlns="http://schemas.openxmlformats.org/officeDocument/2006/custom-properties" xmlns:vt="http://schemas.openxmlformats.org/officeDocument/2006/docPropsVTypes"/>
</file>