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Analysis</w:t>
      </w:r>
    </w:p>
    <w:bookmarkStart w:id="29" w:name="Xd82d844a1a395ec9b8d8857bb88a3047e9795cf"/>
    <w:p>
      <w:pPr>
        <w:pStyle w:val="Heading1"/>
      </w:pPr>
      <w:r>
        <w:t xml:space="preserve">Comprehensive Sales Report for Environmental Engineering Services in Kuwait City, Kuwait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 Type:</w:t>
      </w:r>
      <w:r>
        <w:t xml:space="preserve"> </w:t>
      </w:r>
      <w:r>
        <w:t xml:space="preserve">Market Performance Analysis</w:t>
      </w:r>
    </w:p>
    <w:bookmarkStart w:id="20" w:name="executive-summary"/>
    <w:p>
      <w:pPr>
        <w:pStyle w:val="Heading2"/>
      </w:pPr>
      <w:r>
        <w:t xml:space="preserve">Executive Summary</w:t>
      </w:r>
    </w:p>
    <w:p>
      <w:pPr>
        <w:pStyle w:val="FirstParagraph"/>
      </w:pPr>
      <w:r>
        <w:t xml:space="preserve">This Sales Report details the current market landscape for Environmental Engineering services within Kuwait City, Kuwait. As the nation advances its Vision 2035 sustainability goals, demand for specialized Environmental Engineer expertise has surged exponentially. Our analysis confirms that strategic deployment of certified Environmental Engineers in Kuwait City directly correlates with a 37% increase in contract wins across waste management, water treatment, and industrial compliance sectors. This document establishes why prioritizing Environmental Engineer talent acquisition and service customization is critical to capturing the $287M Kuwait City environmental services market growth opportunity.</w:t>
      </w:r>
    </w:p>
    <w:bookmarkEnd w:id="20"/>
    <w:bookmarkStart w:id="21" w:name="X9c9fc0f57c16b04f9bf21a05d30f68b30c38976"/>
    <w:p>
      <w:pPr>
        <w:pStyle w:val="Heading2"/>
      </w:pPr>
      <w:r>
        <w:t xml:space="preserve">Market Context: Kuwait City's Sustainability Imperative</w:t>
      </w:r>
    </w:p>
    <w:p>
      <w:pPr>
        <w:pStyle w:val="FirstParagraph"/>
      </w:pPr>
      <w:r>
        <w:t xml:space="preserve">Kuwait City represents the epicenter of national environmental initiatives, with government mandates now requiring all major construction projects (including the new Silk Road Economic Zone and Al Hamra District developments) to integrate certified Environmental Engineer assessments. The Ministry of Environment's 2023 Green Certification Framework has created unprecedented demand for professionals who can navigate Kuwait's unique arid ecosystem challenges. Our Sales Report identifies that 89% of corporate clients in Kuwait City now prioritize environmental compliance as a non-negotiable contract criterion, making the role of Environmental Engineer indispensable to our sales pipeline.</w:t>
      </w:r>
    </w:p>
    <w:p>
      <w:pPr>
        <w:pStyle w:val="BodyText"/>
      </w:pPr>
      <w:r>
        <w:rPr>
          <w:bCs/>
          <w:b/>
        </w:rPr>
        <w:t xml:space="preserve">Key Market Insight:</w:t>
      </w:r>
      <w:r>
        <w:t xml:space="preserve"> </w:t>
      </w:r>
      <w:r>
        <w:t xml:space="preserve">Every 1% increase in Environmental Engineer staffing correlates with a 4.3% higher win rate on government RFPs within Kuwait City. Clients explicitly require certified professionals who understand local regulations like Kuwaiti Standard 205/2019 and Gulf Cooperation Council environmental directives.</w:t>
      </w:r>
    </w:p>
    <w:bookmarkEnd w:id="21"/>
    <w:bookmarkStart w:id="24" w:name="current-sales-performance-analysis"/>
    <w:p>
      <w:pPr>
        <w:pStyle w:val="Heading2"/>
      </w:pPr>
      <w:r>
        <w:t xml:space="preserve">Current Sales Performance Analysis</w:t>
      </w:r>
    </w:p>
    <w:p>
      <w:pPr>
        <w:pStyle w:val="FirstParagraph"/>
      </w:pPr>
      <w:r>
        <w:t xml:space="preserve">Our Q3 2023 sales data reveals a significant uptick in Environmental Engineer service demand. The Kuwait City office reported:</w:t>
      </w:r>
    </w:p>
    <w:p>
      <w:pPr>
        <w:numPr>
          <w:ilvl w:val="0"/>
          <w:numId w:val="1001"/>
        </w:numPr>
        <w:pStyle w:val="Compact"/>
      </w:pPr>
      <w:r>
        <w:rPr>
          <w:bCs/>
          <w:b/>
        </w:rPr>
        <w:t xml:space="preserve">47% YoY growth</w:t>
      </w:r>
      <w:r>
        <w:t xml:space="preserve"> </w:t>
      </w:r>
      <w:r>
        <w:t xml:space="preserve">in environmental consultancy contracts (from $1.8M to $2.65M)</w:t>
      </w:r>
    </w:p>
    <w:p>
      <w:pPr>
        <w:numPr>
          <w:ilvl w:val="0"/>
          <w:numId w:val="1001"/>
        </w:numPr>
        <w:pStyle w:val="Compact"/>
      </w:pPr>
      <w:r>
        <w:rPr>
          <w:bCs/>
          <w:b/>
        </w:rPr>
        <w:t xml:space="preserve">92% client retention rate</w:t>
      </w:r>
      <w:r>
        <w:t xml:space="preserve"> </w:t>
      </w:r>
      <w:r>
        <w:t xml:space="preserve">for projects led by dedicated Environmental Engineers</w:t>
      </w:r>
    </w:p>
    <w:p>
      <w:pPr>
        <w:numPr>
          <w:ilvl w:val="0"/>
          <w:numId w:val="1001"/>
        </w:numPr>
        <w:pStyle w:val="Compact"/>
      </w:pPr>
      <w:r>
        <w:rPr>
          <w:bCs/>
          <w:b/>
        </w:rPr>
        <w:t xml:space="preserve">33% premium pricing realization</w:t>
      </w:r>
      <w:r>
        <w:t xml:space="preserve"> </w:t>
      </w:r>
      <w:r>
        <w:t xml:space="preserve">compared to standard engineering services due to specialized expertise</w:t>
      </w:r>
    </w:p>
    <w:p>
      <w:pPr>
        <w:pStyle w:val="FirstParagraph"/>
      </w:pPr>
      <w:r>
        <w:t xml:space="preserve">The most successful sales cycles (avg. 57 days) consistently feature early involvement of an Environmental Engineer during client discovery phases. In contrast, proposals without dedicated engineer resources took 28% longer to close and faced rejection in 68% of cases due to perceived regulatory risks.</w:t>
      </w:r>
    </w:p>
    <w:bookmarkStart w:id="22" w:name="Xf32ab371aa76a7dfd4b5faf100e5a4c4835c42d"/>
    <w:p>
      <w:pPr>
        <w:pStyle w:val="Heading3"/>
      </w:pPr>
      <w:r>
        <w:t xml:space="preserve">Leading Opportunity: Water Resource Management</w:t>
      </w:r>
    </w:p>
    <w:p>
      <w:pPr>
        <w:pStyle w:val="FirstParagraph"/>
      </w:pPr>
      <w:r>
        <w:t xml:space="preserve">Kuwait City's strategic focus on desalination expansion (notably the $4.2B Al-Kharaitiyat Desalination Plant) creates an immediate sales opportunity. Our Environmental Engineer team recently secured a $1.2M contract with Kuwait Water Company to optimize brine disposal systems, avoiding costly EPA-equivalent fines in the Kuwaiti context. This success demonstrates how Environmental Engineers directly drive revenue by solving client-specific water sustainability challenges that traditional engineers cannot address.</w:t>
      </w:r>
    </w:p>
    <w:bookmarkEnd w:id="22"/>
    <w:bookmarkStart w:id="23" w:name="X6cd86eeb6b47a59dbbb9437b78c7e5c28844b22"/>
    <w:p>
      <w:pPr>
        <w:pStyle w:val="Heading3"/>
      </w:pPr>
      <w:r>
        <w:t xml:space="preserve">Emerging Sector: Industrial Emissions Compliance</w:t>
      </w:r>
    </w:p>
    <w:p>
      <w:pPr>
        <w:pStyle w:val="FirstParagraph"/>
      </w:pPr>
      <w:r>
        <w:t xml:space="preserve">With Kuwait's 2025 emissions cap mandate, our sales team has identified 14 major industrial clients in Kuwait City requiring real-time air quality monitoring systems. The Environmental Engineer role proved pivotal here—by designing solutions that exceeded local standards while reducing client operational costs by 22%, we closed a $780K deal with Al-Nasr Petroleum. This case exemplifies how specialized Environmental Engineer knowledge transforms compliance from a cost center to a strategic business advantage.</w:t>
      </w:r>
    </w:p>
    <w:bookmarkEnd w:id="23"/>
    <w:bookmarkEnd w:id="24"/>
    <w:bookmarkStart w:id="25" w:name="competitive-landscape-assessment"/>
    <w:p>
      <w:pPr>
        <w:pStyle w:val="Heading2"/>
      </w:pPr>
      <w:r>
        <w:t xml:space="preserve">Competitive Landscape Assessment</w:t>
      </w:r>
    </w:p>
    <w:p>
      <w:pPr>
        <w:pStyle w:val="FirstParagraph"/>
      </w:pPr>
      <w:r>
        <w:t xml:space="preserve">Kuwait City's environmental engineering market is highly competitive, but our Sales Report identifies clear differentiators: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Weakness in Kuwait City Market</w:t>
            </w:r>
          </w:p>
        </w:tc>
        <w:tc>
          <w:tcPr/>
          <w:p>
            <w:pPr>
              <w:pStyle w:val="Compact"/>
              <w:jc w:val="left"/>
            </w:pPr>
            <w:r>
              <w:t xml:space="preserve">Our Advantage via Environmental Engineer</w:t>
            </w:r>
          </w:p>
        </w:tc>
      </w:tr>
      <w:tr>
        <w:tc>
          <w:tcPr/>
          <w:p>
            <w:pPr>
              <w:pStyle w:val="Compact"/>
              <w:jc w:val="left"/>
            </w:pPr>
            <w:r>
              <w:t xml:space="preserve">Regional Engineering Firms (e.g., KACARE)</w:t>
            </w:r>
          </w:p>
        </w:tc>
        <w:tc>
          <w:tcPr/>
          <w:p>
            <w:pPr>
              <w:pStyle w:val="Compact"/>
              <w:jc w:val="left"/>
            </w:pPr>
            <w:r>
              <w:t xml:space="preserve">Lack specialized Kuwaiti regulatory knowledge; rely on imported engineers</w:t>
            </w:r>
          </w:p>
        </w:tc>
        <w:tc>
          <w:tcPr/>
          <w:p>
            <w:pPr>
              <w:pStyle w:val="Compact"/>
              <w:jc w:val="left"/>
            </w:pPr>
            <w:r>
              <w:rPr>
                <w:bCs/>
                <w:b/>
              </w:rPr>
              <w:t xml:space="preserve">Local-certified Environmental Engineer</w:t>
            </w:r>
            <w:r>
              <w:t xml:space="preserve"> </w:t>
            </w:r>
            <w:r>
              <w:t xml:space="preserve">with direct Ministry of Environment relationships and Arabic-language compliance documentation capabilities</w:t>
            </w:r>
          </w:p>
        </w:tc>
      </w:tr>
      <w:tr>
        <w:tc>
          <w:tcPr/>
          <w:p>
            <w:pPr>
              <w:pStyle w:val="Compact"/>
              <w:jc w:val="left"/>
            </w:pPr>
            <w:r>
              <w:t xml:space="preserve">Global Consultants (e.g., AECOM)</w:t>
            </w:r>
          </w:p>
        </w:tc>
        <w:tc>
          <w:tcPr/>
          <w:p>
            <w:pPr>
              <w:pStyle w:val="Compact"/>
              <w:jc w:val="left"/>
            </w:pPr>
            <w:r>
              <w:t xml:space="preserve">Poor cultural adaptation; high pricing without local operational understanding</w:t>
            </w:r>
          </w:p>
        </w:tc>
        <w:tc>
          <w:tcPr/>
          <w:p>
            <w:pPr>
              <w:pStyle w:val="Compact"/>
              <w:jc w:val="left"/>
            </w:pPr>
            <w:r>
              <w:rPr>
                <w:bCs/>
                <w:b/>
              </w:rPr>
              <w:t xml:space="preserve">Kuwait City-based Environmental Engineer</w:t>
            </w:r>
            <w:r>
              <w:t xml:space="preserve"> </w:t>
            </w:r>
            <w:r>
              <w:t xml:space="preserve">embedded in client operations for rapid problem resolution, reducing project timelines by 31%</w:t>
            </w:r>
          </w:p>
        </w:tc>
      </w:tr>
    </w:tbl>
    <w:bookmarkEnd w:id="25"/>
    <w:bookmarkStart w:id="26" w:name="Xf4c72b30d675fd367e1ce19fe68a540eead3973"/>
    <w:p>
      <w:pPr>
        <w:pStyle w:val="Heading2"/>
      </w:pPr>
      <w:r>
        <w:t xml:space="preserve">Strategic Recommendations for Kuwait City Sales Growth</w:t>
      </w:r>
    </w:p>
    <w:p>
      <w:pPr>
        <w:pStyle w:val="FirstParagraph"/>
      </w:pPr>
      <w:r>
        <w:t xml:space="preserve">To capitalize on the $350M+ opportunity identified in our Sales Report, we recommend three immediate actions:</w:t>
      </w:r>
    </w:p>
    <w:p>
      <w:pPr>
        <w:numPr>
          <w:ilvl w:val="0"/>
          <w:numId w:val="1002"/>
        </w:numPr>
        <w:pStyle w:val="Compact"/>
      </w:pPr>
      <w:r>
        <w:rPr>
          <w:bCs/>
          <w:b/>
        </w:rPr>
        <w:t xml:space="preserve">Expand Environmental Engineer Capacity by 45% in Kuwait City</w:t>
      </w:r>
      <w:r>
        <w:t xml:space="preserve">: Hire locally certified professionals with GCC experience. This will enable us to service all 12 major government tenders currently scheduled for Q1 2024.</w:t>
      </w:r>
    </w:p>
    <w:p>
      <w:pPr>
        <w:numPr>
          <w:ilvl w:val="0"/>
          <w:numId w:val="1002"/>
        </w:numPr>
        <w:pStyle w:val="Compact"/>
      </w:pPr>
      <w:r>
        <w:rPr>
          <w:bCs/>
          <w:b/>
        </w:rPr>
        <w:t xml:space="preserve">Develop Kuwait-Specific Service Packages</w:t>
      </w:r>
      <w:r>
        <w:t xml:space="preserve">: Create tiered offerings (e.g., "Kuwait Green Compliance Package") featuring Environmental Engineer-led assessments, Ministry of Environment documentation support, and local waste disposal network integration.</w:t>
      </w:r>
    </w:p>
    <w:p>
      <w:pPr>
        <w:numPr>
          <w:ilvl w:val="0"/>
          <w:numId w:val="1002"/>
        </w:numPr>
        <w:pStyle w:val="Compact"/>
      </w:pPr>
      <w:r>
        <w:rPr>
          <w:bCs/>
          <w:b/>
        </w:rPr>
        <w:t xml:space="preserve">Establish Environmental Engineer Advisory Council</w:t>
      </w:r>
      <w:r>
        <w:t xml:space="preserve">: Partner with 5 key Kuwait City industrial clients to co-develop standards that position our firm as the market leader in locally tailored sustainability solutions.</w:t>
      </w:r>
    </w:p>
    <w:p>
      <w:pPr>
        <w:pStyle w:val="FirstParagraph"/>
      </w:pPr>
      <w:r>
        <w:rPr>
          <w:bCs/>
          <w:b/>
        </w:rPr>
        <w:t xml:space="preserve">Implementation Impact Projection:</w:t>
      </w:r>
      <w:r>
        <w:t xml:space="preserve"> </w:t>
      </w:r>
      <w:r>
        <w:t xml:space="preserve">Executing this strategy will unlock an additional $9.8M in annual revenue for Kuwait City operations by 2025, primarily through Environmental Engineer-driven premium service adoption.</w:t>
      </w:r>
    </w:p>
    <w:bookmarkEnd w:id="26"/>
    <w:bookmarkStart w:id="27" w:name="addressing-critical-market-challenges"/>
    <w:p>
      <w:pPr>
        <w:pStyle w:val="Heading2"/>
      </w:pPr>
      <w:r>
        <w:t xml:space="preserve">Addressing Critical Market Challenges</w:t>
      </w:r>
    </w:p>
    <w:p>
      <w:pPr>
        <w:pStyle w:val="FirstParagraph"/>
      </w:pPr>
      <w:r>
        <w:t xml:space="preserve">Kuwait City's unique environmental challenges demand specialized engineering approaches. Our Sales Report confirms that 74% of client objections relate to perceived risks in navigating Kuwaiti environmental regulations—precisely where the Environmental Engineer becomes our most valuable sales asset. For example, during the recent Al-Qurainah industrial park bidding process, our Environmental Engineer's understanding of Kuwait's specific sandstorm particulate control requirements enabled us to submit a compliant solution 17 days ahead of competitors, directly securing a $2.3M contract.</w:t>
      </w:r>
    </w:p>
    <w:bookmarkEnd w:id="27"/>
    <w:bookmarkStart w:id="28" w:name="conclusion-the-strategic-imperative"/>
    <w:p>
      <w:pPr>
        <w:pStyle w:val="Heading2"/>
      </w:pPr>
      <w:r>
        <w:t xml:space="preserve">Conclusion: The Strategic Imperative</w:t>
      </w:r>
    </w:p>
    <w:p>
      <w:pPr>
        <w:pStyle w:val="FirstParagraph"/>
      </w:pPr>
      <w:r>
        <w:t xml:space="preserve">This Sales Report unequivocally demonstrates that the Environmental Engineer is no longer a technical role but the central revenue driver in Kuwait City's environmental services market. As Kuwait accelerates its sustainability transition under Vision 2035, our ability to deploy certified Environmental Engineers who understand local regulations, cultural nuances, and climate-specific challenges will determine market leadership. Every dollar invested in specialized Environmental Engineer talent yields a 12:1 return through premium pricing, faster sales cycles, and client loyalty. We recommend immediate allocation of $850K toward Kuwait City Environmental Engineer recruitment to capture the full value of this high-growth opportunity.</w:t>
      </w:r>
    </w:p>
    <w:p>
      <w:pPr>
        <w:pStyle w:val="BodyText"/>
      </w:pPr>
      <w:r>
        <w:t xml:space="preserve">© 2023 Green Horizon Engineering | Sales &amp; Market Intelligence Division | This report is exclusively for internal executive use in Kuwait City operations</w:t>
      </w:r>
    </w:p>
    <w:p>
      <w:pPr>
        <w:pStyle w:val="BodyText"/>
      </w:pPr>
      <w:r>
        <w:rPr>
          <w:bCs/>
          <w:b/>
        </w:rPr>
        <w:t xml:space="preserve">Key Terms Reference:</w:t>
      </w:r>
      <w:r>
        <w:t xml:space="preserve"> </w:t>
      </w:r>
      <w:r>
        <w:t xml:space="preserve">Sales Report (Document), Environmental Engineer (Core Revenue Driver), Kuwait Kuwait City (Strategic Market Focus)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Kuwait City Market Analysis</dc:title>
  <dc:creator/>
  <dc:language>en</dc:language>
  <cp:keywords/>
  <dcterms:created xsi:type="dcterms:W3CDTF">2025-12-11T00:52:21Z</dcterms:created>
  <dcterms:modified xsi:type="dcterms:W3CDTF">2025-12-11T00:52:21Z</dcterms:modified>
</cp:coreProperties>
</file>

<file path=docProps/custom.xml><?xml version="1.0" encoding="utf-8"?>
<Properties xmlns="http://schemas.openxmlformats.org/officeDocument/2006/custom-properties" xmlns:vt="http://schemas.openxmlformats.org/officeDocument/2006/docPropsVTypes"/>
</file>