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30" w:name="X1772d543995c46f67747fa509fe6ee94d425893"/>
    <w:p>
      <w:pPr>
        <w:pStyle w:val="Heading1"/>
      </w:pPr>
      <w:r>
        <w:t xml:space="preserve">Annual Sales Report: Environmental Engineering Services Market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GreenTech Solutions Sdn Bhd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Environmental Engineering services across Malaysia Kuala Lumpur. As the premier hub for sustainability initiatives in Southeast Asia, Kuala Lumpur has witnessed a 37% year-over-year surge in demand for certified Environmental Engineer solutions, driven by stringent government regulations and corporate ESG commitments. Our company has secured 28 major contracts totaling RM14.2 million within this market, representing a 22% growth from 2022. This report analyzes key sales drivers, regional challenges, and future opportunities specific to the Malaysia Kuala Lumpur environmental engineering landscape.</w:t>
      </w:r>
    </w:p>
    <w:bookmarkEnd w:id="20"/>
    <w:bookmarkStart w:id="21" w:name="Xac7cdb125e3981df6c627d6ca75d35ad3d2d3c8"/>
    <w:p>
      <w:pPr>
        <w:pStyle w:val="Heading2"/>
      </w:pPr>
      <w:r>
        <w:t xml:space="preserve">II. Market Context: Environmental Engineering in Malaysia Kuala Lumpur</w:t>
      </w:r>
    </w:p>
    <w:p>
      <w:pPr>
        <w:pStyle w:val="FirstParagraph"/>
      </w:pPr>
      <w:r>
        <w:t xml:space="preserve">Kuala Lumpur has emerged as the epicenter of environmental engineering innovation in Malaysia, fueled by the National Green Technology Policy (NGTP) and the 2030 Carbon Neutrality Target. The Department of Environment (DOE) reports that over 65% of Kuala Lumpur's construction projects now require mandatory Environmental Impact Assessments (EIAs), creating unprecedented demand for qualified Environmental Engineer professionals. This regulatory push has transformed the sales landscape, where our team has positioned itself as the leading provider of end-to-end sustainability solutions for multinational corporations and government agencies operating in Malaysia Kuala Lumpur.</w:t>
      </w:r>
    </w:p>
    <w:bookmarkEnd w:id="21"/>
    <w:bookmarkStart w:id="23" w:name="iii.-sales-performance-highlights"/>
    <w:p>
      <w:pPr>
        <w:pStyle w:val="Heading2"/>
      </w:pPr>
      <w:r>
        <w:t xml:space="preserve">III. Sales Performance Highlights</w:t>
      </w:r>
    </w:p>
    <w:p>
      <w:pPr>
        <w:pStyle w:val="FirstParagraph"/>
      </w:pPr>
      <w:r>
        <w:t xml:space="preserve">Quarter</w:t>
      </w:r>
    </w:p>
    <w:p>
      <w:pPr>
        <w:pStyle w:val="BodyText"/>
      </w:pPr>
      <w:r>
        <w:t xml:space="preserve">Sales Volume (RM)</w:t>
      </w:r>
    </w:p>
    <w:p>
      <w:pPr>
        <w:pStyle w:val="BodyText"/>
      </w:pPr>
      <w:r>
        <w:t xml:space="preserve">New Client Acquisition</w:t>
      </w:r>
    </w:p>
    <w:p>
      <w:pPr>
        <w:pStyle w:val="BodyText"/>
      </w:pPr>
      <w:r>
        <w:t xml:space="preserve">Key Sector Focus</w:t>
      </w:r>
    </w:p>
    <w:p>
      <w:pPr>
        <w:pStyle w:val="BodyText"/>
      </w:pPr>
      <w:r>
        <w:t xml:space="preserve">Q1 2023</w:t>
      </w:r>
    </w:p>
    <w:p>
      <w:pPr>
        <w:pStyle w:val="BodyText"/>
      </w:pPr>
      <w:r>
        <w:t xml:space="preserve">RM3.1M</w:t>
      </w:r>
    </w:p>
    <w:p>
      <w:pPr>
        <w:pStyle w:val="BodyText"/>
      </w:pPr>
      <w:r>
        <w:t xml:space="preserve">4 New Clients</w:t>
      </w:r>
    </w:p>
    <w:p>
      <w:pPr>
        <w:pStyle w:val="BodyText"/>
      </w:pPr>
      <w:r>
        <w:t xml:space="preserve">Sustainable Construction, Waste Management</w:t>
      </w:r>
    </w:p>
    <w:p>
      <w:pPr>
        <w:pStyle w:val="BodyText"/>
      </w:pPr>
      <w:r>
        <w:t xml:space="preserve">Q2 2023</w:t>
      </w:r>
    </w:p>
    <w:p>
      <w:pPr>
        <w:pStyle w:val="BodyText"/>
      </w:pPr>
      <w:r>
        <w:t xml:space="preserve">RM3.8M</w:t>
      </w:r>
    </w:p>
    <w:p>
      <w:pPr>
        <w:pStyle w:val="BodyText"/>
      </w:pPr>
      <w:r>
        <w:t xml:space="preserve">7 New Clients</w:t>
      </w:r>
    </w:p>
    <w:p>
      <w:pPr>
        <w:pStyle w:val="BodyText"/>
      </w:pPr>
      <w:r>
        <w:rPr>
          <w:iCs/>
          <w:i/>
          <w:bCs/>
          <w:b/>
        </w:rPr>
        <w:t xml:space="preserve">Note: Post-PKL MRT Expansion announcement drove peak demand in this quarter.</w:t>
      </w:r>
    </w:p>
    <w:p>
      <w:pPr>
        <w:pStyle w:val="BodyText"/>
      </w:pPr>
      <w:r>
        <w:t xml:space="preserve">Q3 2023</w:t>
      </w:r>
    </w:p>
    <w:p>
      <w:pPr>
        <w:pStyle w:val="BodyText"/>
      </w:pPr>
      <w:r>
        <w:t xml:space="preserve">RM4.1M</w:t>
      </w:r>
    </w:p>
    <w:p>
      <w:pPr>
        <w:pStyle w:val="BodyText"/>
      </w:pPr>
      <w:r>
        <w:t xml:space="preserve">5 New Clients</w:t>
      </w:r>
    </w:p>
    <w:p>
      <w:pPr>
        <w:pStyle w:val="BodyText"/>
      </w:pPr>
      <w:r>
        <w:t xml:space="preserve">Green Manufacturing &amp; Industrial Compliance Sector Dominant</w:t>
      </w:r>
    </w:p>
    <w:p>
      <w:pPr>
        <w:pStyle w:val="BodyText"/>
      </w:pPr>
      <w:r>
        <w:t xml:space="preserve">Q4 2023</w:t>
      </w:r>
    </w:p>
    <w:p>
      <w:pPr>
        <w:pStyle w:val="BodyText"/>
      </w:pPr>
      <w:r>
        <w:t xml:space="preserve">RM3.2M</w:t>
      </w:r>
    </w:p>
    <w:p>
      <w:pPr>
        <w:pStyle w:val="BodyText"/>
      </w:pPr>
      <w:r>
        <w:t xml:space="preserve">6 New Clients (Including 1 National Champion)</w:t>
      </w:r>
    </w:p>
    <w:p>
      <w:pPr>
        <w:pStyle w:val="BodyText"/>
      </w:pPr>
      <w:r>
        <w:t xml:space="preserve">Peak Season: Post-Christmas Corporate ESG Reporting Cycle</w:t>
      </w:r>
    </w:p>
    <w:p>
      <w:pPr>
        <w:pStyle w:val="BodyText"/>
      </w:pPr>
      <w:r>
        <w:t xml:space="preserve">Total 2023</w:t>
      </w:r>
    </w:p>
    <w:p>
      <w:pPr>
        <w:pStyle w:val="BodyText"/>
      </w:pPr>
      <w:r>
        <w:t xml:space="preserve">RM14.2M</w:t>
      </w:r>
    </w:p>
    <w:p>
      <w:pPr>
        <w:pStyle w:val="BodyText"/>
      </w:pPr>
      <w:r>
        <w:t xml:space="preserve">22 New Clients</w:t>
      </w:r>
    </w:p>
    <w:p>
      <w:pPr>
        <w:pStyle w:val="BodyText"/>
      </w:pPr>
      <w:r>
        <w:t xml:space="preserve">Market Share: 18% (Up from 15% in 2022)</w:t>
      </w:r>
    </w:p>
    <w:bookmarkStart w:id="22" w:name="a.-key-sales-achievements"/>
    <w:p>
      <w:pPr>
        <w:pStyle w:val="Heading3"/>
      </w:pPr>
      <w:r>
        <w:t xml:space="preserve">A. Key Sales Achievements:</w:t>
      </w:r>
    </w:p>
    <w:p>
      <w:pPr>
        <w:numPr>
          <w:ilvl w:val="0"/>
          <w:numId w:val="1001"/>
        </w:numPr>
        <w:pStyle w:val="Compact"/>
      </w:pPr>
      <w:r>
        <w:rPr>
          <w:bCs/>
          <w:b/>
        </w:rPr>
        <w:t xml:space="preserve">First-Mover Advantage:</w:t>
      </w:r>
      <w:r>
        <w:t xml:space="preserve"> </w:t>
      </w:r>
      <w:r>
        <w:t xml:space="preserve">Secured the landmark contract with KL Metropolitan Water Authority for a RM4.8M wastewater treatment optimization project – our largest Environmental Engineer engagement to date in Malaysia Kuala Lumpur.</w:t>
      </w:r>
    </w:p>
    <w:p>
      <w:pPr>
        <w:numPr>
          <w:ilvl w:val="0"/>
          <w:numId w:val="1001"/>
        </w:numPr>
        <w:pStyle w:val="Compact"/>
      </w:pPr>
      <w:r>
        <w:rPr>
          <w:bCs/>
          <w:b/>
        </w:rPr>
        <w:t xml:space="preserve">Government Partnership:</w:t>
      </w:r>
      <w:r>
        <w:t xml:space="preserve"> </w:t>
      </w:r>
      <w:r>
        <w:t xml:space="preserve">Won the tender for the Ministry of Housing &amp; Local Government's Sustainable Urban Development Framework, valued at RM2.7M, marking our entry into high-impact public sector projects.</w:t>
      </w:r>
    </w:p>
    <w:p>
      <w:pPr>
        <w:numPr>
          <w:ilvl w:val="0"/>
          <w:numId w:val="1001"/>
        </w:numPr>
        <w:pStyle w:val="Compact"/>
      </w:pPr>
      <w:r>
        <w:rPr>
          <w:bCs/>
          <w:b/>
        </w:rPr>
        <w:t xml:space="preserve">Cross-Selling Success:</w:t>
      </w:r>
      <w:r>
        <w:t xml:space="preserve"> </w:t>
      </w:r>
      <w:r>
        <w:t xml:space="preserve">Increased average contract value by 31% through bundling Environmental Engineer services with carbon accounting and ISO 14001 certification support.</w:t>
      </w:r>
    </w:p>
    <w:bookmarkEnd w:id="22"/>
    <w:bookmarkEnd w:id="23"/>
    <w:bookmarkStart w:id="26" w:name="X2c421045bd5fd656c1a8d3d58cd6962a24c3914"/>
    <w:p>
      <w:pPr>
        <w:pStyle w:val="Heading2"/>
      </w:pPr>
      <w:r>
        <w:t xml:space="preserve">IV. Regional Market Dynamics (Malaysia Kuala Lumpur Specific)</w:t>
      </w:r>
    </w:p>
    <w:p>
      <w:pPr>
        <w:pStyle w:val="FirstParagraph"/>
      </w:pPr>
      <w:r>
        <w:t xml:space="preserve">The unique ecosystem of Malaysia Kuala Lumpur presents both opportunities and complexities for Environmental Engineer sales teams:</w:t>
      </w:r>
    </w:p>
    <w:bookmarkStart w:id="24" w:name="a.-regulatory-catalysts-driving-demand"/>
    <w:p>
      <w:pPr>
        <w:pStyle w:val="Heading3"/>
      </w:pPr>
      <w:r>
        <w:t xml:space="preserve">A. Regulatory Catalysts Driving Demand:</w:t>
      </w:r>
    </w:p>
    <w:p>
      <w:pPr>
        <w:numPr>
          <w:ilvl w:val="0"/>
          <w:numId w:val="1002"/>
        </w:numPr>
        <w:pStyle w:val="Compact"/>
      </w:pPr>
      <w:r>
        <w:rPr>
          <w:iCs/>
          <w:i/>
        </w:rPr>
        <w:t xml:space="preserve">Pollution Control Act Amendments (2021):</w:t>
      </w:r>
      <w:r>
        <w:t xml:space="preserve"> </w:t>
      </w:r>
      <w:r>
        <w:t xml:space="preserve">Mandated real-time air quality monitoring for all industrial zones in KL, creating immediate need for Environmental Engineer deployment.</w:t>
      </w:r>
    </w:p>
    <w:p>
      <w:pPr>
        <w:numPr>
          <w:ilvl w:val="0"/>
          <w:numId w:val="1002"/>
        </w:numPr>
        <w:pStyle w:val="Compact"/>
      </w:pPr>
      <w:r>
        <w:rPr>
          <w:iCs/>
          <w:i/>
        </w:rPr>
        <w:t xml:space="preserve">Kuala Lumpur City Hall (DBKL) Sustainability Ordinance:</w:t>
      </w:r>
      <w:r>
        <w:t xml:space="preserve"> </w:t>
      </w:r>
      <w:r>
        <w:t xml:space="preserve">Requires 100% green building compliance for new developments – a market worth RM8.3 billion annually.</w:t>
      </w:r>
    </w:p>
    <w:p>
      <w:pPr>
        <w:numPr>
          <w:ilvl w:val="0"/>
          <w:numId w:val="1002"/>
        </w:numPr>
        <w:pStyle w:val="Compact"/>
      </w:pPr>
      <w:r>
        <w:rPr>
          <w:iCs/>
          <w:i/>
        </w:rPr>
        <w:t xml:space="preserve">Bursa Malaysia ESG Disclosure Requirements:</w:t>
      </w:r>
      <w:r>
        <w:t xml:space="preserve"> </w:t>
      </w:r>
      <w:r>
        <w:t xml:space="preserve">Over 240 listed companies in KL now mandate environmental impact reporting, directly boosting demand for our Environmental Engineer services.</w:t>
      </w:r>
    </w:p>
    <w:bookmarkEnd w:id="24"/>
    <w:bookmarkStart w:id="25" w:name="b.-cultural-operational-considerations"/>
    <w:p>
      <w:pPr>
        <w:pStyle w:val="Heading3"/>
      </w:pPr>
      <w:r>
        <w:t xml:space="preserve">B. Cultural &amp; Operational Considerations:</w:t>
      </w:r>
    </w:p>
    <w:p>
      <w:pPr>
        <w:pStyle w:val="FirstParagraph"/>
      </w:pPr>
      <w:r>
        <w:t xml:space="preserve">Successful sales in Malaysia Kuala Lumpur require nuanced understanding of local business practices. Our team has implemented:</w:t>
      </w:r>
    </w:p>
    <w:p>
      <w:pPr>
        <w:numPr>
          <w:ilvl w:val="0"/>
          <w:numId w:val="1003"/>
        </w:numPr>
        <w:pStyle w:val="Compact"/>
      </w:pPr>
      <w:r>
        <w:rPr>
          <w:bCs/>
          <w:b/>
        </w:rPr>
        <w:t xml:space="preserve">Cultural Intelligence Training:</w:t>
      </w:r>
      <w:r>
        <w:t xml:space="preserve"> </w:t>
      </w:r>
      <w:r>
        <w:t xml:space="preserve">100% of sales staff certified in Malay business etiquette and Malaysian environmental compliance protocols.</w:t>
      </w:r>
    </w:p>
    <w:p>
      <w:pPr>
        <w:numPr>
          <w:ilvl w:val="0"/>
          <w:numId w:val="1003"/>
        </w:numPr>
        <w:pStyle w:val="Compact"/>
      </w:pPr>
      <w:r>
        <w:rPr>
          <w:bCs/>
          <w:b/>
        </w:rPr>
        <w:t xml:space="preserve">Local Partnership Strategy:</w:t>
      </w:r>
      <w:r>
        <w:t xml:space="preserve"> </w:t>
      </w:r>
      <w:r>
        <w:t xml:space="preserve">Collaborated with 7 key Malaysian engineering firms (including AECOM Malaysia and M+S Engineering) for joint bids on KL infrastructure projects.</w:t>
      </w:r>
    </w:p>
    <w:bookmarkEnd w:id="25"/>
    <w:bookmarkEnd w:id="26"/>
    <w:bookmarkStart w:id="27" w:name="v.-challenges-mitigation-strategies"/>
    <w:p>
      <w:pPr>
        <w:pStyle w:val="Heading2"/>
      </w:pPr>
      <w:r>
        <w:t xml:space="preserve">V. Challenges &amp; Mitigation Strategies</w:t>
      </w:r>
    </w:p>
    <w:p>
      <w:pPr>
        <w:pStyle w:val="FirstParagraph"/>
      </w:pPr>
      <w:r>
        <w:t xml:space="preserve">Despite robust growth, we faced significant market-entry hurdles unique to Malaysia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Strategy</w:t>
            </w:r>
          </w:p>
        </w:tc>
      </w:tr>
      <w:tr>
        <w:tc>
          <w:tcPr/>
          <w:p>
            <w:pPr>
              <w:pStyle w:val="Compact"/>
              <w:jc w:val="left"/>
            </w:pPr>
            <w:r>
              <w:t xml:space="preserve">Licensing Barriers for Foreign Environmental Engineers</w:t>
            </w:r>
          </w:p>
        </w:tc>
        <w:tc>
          <w:tcPr/>
          <w:p>
            <w:pPr>
              <w:pStyle w:val="Compact"/>
              <w:jc w:val="left"/>
            </w:pPr>
            <w:r>
              <w:t xml:space="preserve">Delayed 3-4 months on international contracts (e.g., Singapore-based firm)</w:t>
            </w:r>
          </w:p>
        </w:tc>
        <w:tc>
          <w:tcPr/>
          <w:p>
            <w:pPr>
              <w:pStyle w:val="Compact"/>
              <w:jc w:val="left"/>
            </w:pPr>
            <w:r>
              <w:rPr>
                <w:iCs/>
                <w:i/>
              </w:rPr>
              <w:t xml:space="preserve">Established local licensing subsidiary with 5 Malaysian-certified Environmental Engineers; now handles all compliance.</w:t>
            </w:r>
          </w:p>
        </w:tc>
      </w:tr>
      <w:tr>
        <w:tc>
          <w:tcPr/>
          <w:p>
            <w:pPr>
              <w:pStyle w:val="Compact"/>
              <w:jc w:val="left"/>
            </w:pPr>
            <w:r>
              <w:t xml:space="preserve">Competitive Pressure from Local Firms</w:t>
            </w:r>
          </w:p>
        </w:tc>
        <w:tc>
          <w:tcPr/>
          <w:p>
            <w:pPr>
              <w:pStyle w:val="Compact"/>
              <w:jc w:val="left"/>
            </w:pPr>
            <w:r>
              <w:t xml:space="preserve">27% of proposals rejected due to "local preference" bias</w:t>
            </w:r>
          </w:p>
        </w:tc>
        <w:tc>
          <w:tcPr/>
          <w:p>
            <w:pPr>
              <w:pStyle w:val="Compact"/>
              <w:jc w:val="left"/>
            </w:pPr>
            <w:r>
              <w:rPr>
                <w:iCs/>
                <w:i/>
              </w:rPr>
              <w:t xml:space="preserve">Launched "KL Environmental Engineer Ambassador Program" – 12 local professionals now lead client engagements.</w:t>
            </w:r>
          </w:p>
        </w:tc>
      </w:tr>
      <w:tr>
        <w:tc>
          <w:tcPr/>
          <w:p>
            <w:pPr>
              <w:pStyle w:val="Compact"/>
              <w:jc w:val="left"/>
            </w:pPr>
            <w:r>
              <w:t xml:space="preserve">Project Delays from Monsoon Season</w:t>
            </w:r>
          </w:p>
        </w:tc>
        <w:tc>
          <w:tcPr/>
          <w:p>
            <w:pPr>
              <w:pStyle w:val="Compact"/>
              <w:jc w:val="left"/>
            </w:pPr>
            <w:r>
              <w:t xml:space="preserve">15% of Q2 contracts experienced 30-45 day schedule slippage</w:t>
            </w:r>
          </w:p>
        </w:tc>
        <w:tc>
          <w:tcPr/>
          <w:p>
            <w:pPr>
              <w:pStyle w:val="Compact"/>
              <w:jc w:val="left"/>
            </w:pPr>
            <w:r>
              <w:rPr>
                <w:iCs/>
                <w:i/>
              </w:rPr>
              <w:t xml:space="preserve">Developed monsoon-adaptive project templates; now reduce delays by 68%.</w:t>
            </w:r>
          </w:p>
        </w:tc>
      </w:tr>
    </w:tbl>
    <w:bookmarkEnd w:id="27"/>
    <w:bookmarkStart w:id="28" w:name="vi.-strategic-recommendations-for-2024"/>
    <w:p>
      <w:pPr>
        <w:pStyle w:val="Heading2"/>
      </w:pPr>
      <w:r>
        <w:t xml:space="preserve">VI. Strategic Recommendations for 2024</w:t>
      </w:r>
    </w:p>
    <w:p>
      <w:pPr>
        <w:pStyle w:val="FirstParagraph"/>
      </w:pPr>
      <w:r>
        <w:t xml:space="preserve">To capitalize on Malaysia Kuala Lumpur's evolving environmental engineering market, we propose:</w:t>
      </w:r>
    </w:p>
    <w:p>
      <w:pPr>
        <w:numPr>
          <w:ilvl w:val="0"/>
          <w:numId w:val="1004"/>
        </w:numPr>
        <w:pStyle w:val="Compact"/>
      </w:pPr>
      <w:r>
        <w:rPr>
          <w:bCs/>
          <w:b/>
        </w:rPr>
        <w:t xml:space="preserve">Expand KL-Based Environmental Engineer Talent Pool:</w:t>
      </w:r>
      <w:r>
        <w:t xml:space="preserve"> </w:t>
      </w:r>
      <w:r>
        <w:t xml:space="preserve">Recruit 8 additional certified Environmental Engineers within Kuala Lumpur by Q2 2024 to meet projected demand surge (estimated +45% growth).</w:t>
      </w:r>
    </w:p>
    <w:p>
      <w:pPr>
        <w:numPr>
          <w:ilvl w:val="0"/>
          <w:numId w:val="1004"/>
        </w:numPr>
        <w:pStyle w:val="Compact"/>
      </w:pPr>
      <w:r>
        <w:rPr>
          <w:bCs/>
          <w:b/>
        </w:rPr>
        <w:t xml:space="preserve">Develop Malaysia-Specific Sustainability Suite:</w:t>
      </w:r>
      <w:r>
        <w:t xml:space="preserve"> </w:t>
      </w:r>
      <w:r>
        <w:t xml:space="preserve">Create "KL Green Compliance Package" bundling EIAs, waste audits, and DOE reporting support – addressing a $6.7M untapped market segment.</w:t>
      </w:r>
    </w:p>
    <w:p>
      <w:pPr>
        <w:numPr>
          <w:ilvl w:val="0"/>
          <w:numId w:val="1004"/>
        </w:numPr>
        <w:pStyle w:val="Compact"/>
      </w:pPr>
      <w:r>
        <w:rPr>
          <w:bCs/>
          <w:b/>
        </w:rPr>
        <w:t xml:space="preserve">Leverage PETRONAS &amp; MRT Partnerships:</w:t>
      </w:r>
      <w:r>
        <w:t xml:space="preserve"> </w:t>
      </w:r>
      <w:r>
        <w:t xml:space="preserve">Target upcoming projects like the KL-Seremban Expressway Expansion and PETRONAS' new green campus to secure 3-5 flagship contracts.</w:t>
      </w:r>
    </w:p>
    <w:p>
      <w:pPr>
        <w:numPr>
          <w:ilvl w:val="0"/>
          <w:numId w:val="1004"/>
        </w:numPr>
        <w:pStyle w:val="Compact"/>
      </w:pPr>
      <w:r>
        <w:rPr>
          <w:bCs/>
          <w:b/>
        </w:rPr>
        <w:t xml:space="preserve">Establish ASEAN Environmental Engineer Network:</w:t>
      </w:r>
      <w:r>
        <w:t xml:space="preserve"> </w:t>
      </w:r>
      <w:r>
        <w:t xml:space="preserve">Position Kuala Lumpur as our regional headquarters for Southeast Asia, enabling cross-border sales of Environmental Engineer services.</w:t>
      </w:r>
    </w:p>
    <w:bookmarkEnd w:id="28"/>
    <w:bookmarkStart w:id="29" w:name="vii.-conclusion"/>
    <w:p>
      <w:pPr>
        <w:pStyle w:val="Heading2"/>
      </w:pPr>
      <w:r>
        <w:t xml:space="preserve">VII. Conclusion</w:t>
      </w:r>
    </w:p>
    <w:p>
      <w:pPr>
        <w:pStyle w:val="FirstParagraph"/>
      </w:pPr>
      <w:r>
        <w:t xml:space="preserve">The Malaysia Kuala Lumpur market has proven to be the most dynamic and profitable segment for Environmental Engineer services in our global portfolio. This Sales Report demonstrates how strategic localization – through certified local talent, cultural adaptation, and regulatory expertise – has enabled us to achieve significant market share growth despite regional complexities. As Kuala Lumpur accelerates its transition toward a carbon-neutral city by 2030, the demand for specialized Environmental Engineer solutions will only intensify. We project 40% sales growth in Malaysia Kuala Lumpur for 2024, with our team positioned to capture at least RM25M in new contracts. The future of environmental engineering sales success in Southeast Asia is undeniably rooted in Kuala Lumpur's sustainability revolution.</w:t>
      </w:r>
    </w:p>
    <w:p>
      <w:pPr>
        <w:pStyle w:val="BodyText"/>
      </w:pPr>
      <w:r>
        <w:rPr>
          <w:bCs/>
          <w:b/>
        </w:rPr>
        <w:t xml:space="preserve">Prepared By:</w:t>
      </w:r>
      <w:r>
        <w:t xml:space="preserve"> </w:t>
      </w:r>
      <w:r>
        <w:t xml:space="preserve">Aisha Rahman, Director of Sales &amp; Sustainability</w:t>
      </w:r>
      <w:r>
        <w:br/>
      </w:r>
      <w:r>
        <w:rPr>
          <w:bCs/>
          <w:b/>
        </w:rPr>
        <w:t xml:space="preserve">Contact:</w:t>
      </w:r>
      <w:r>
        <w:t xml:space="preserve"> </w:t>
      </w:r>
      <w:r>
        <w:t xml:space="preserve">a.rahman@greentech.com.my | +603-2165-4871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Malaysia Kuala Lumpur Market Analysis</dc:title>
  <dc:creator/>
  <dc:language>en</dc:language>
  <cp:keywords/>
  <dcterms:created xsi:type="dcterms:W3CDTF">2025-12-11T06:50:39Z</dcterms:created>
  <dcterms:modified xsi:type="dcterms:W3CDTF">2025-12-11T06:50:39Z</dcterms:modified>
</cp:coreProperties>
</file>

<file path=docProps/custom.xml><?xml version="1.0" encoding="utf-8"?>
<Properties xmlns="http://schemas.openxmlformats.org/officeDocument/2006/custom-properties" xmlns:vt="http://schemas.openxmlformats.org/officeDocument/2006/docPropsVTypes"/>
</file>