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w:t>
      </w:r>
      <w:r>
        <w:t xml:space="preserve"> </w:t>
      </w:r>
      <w:r>
        <w:t xml:space="preserve">Sales</w:t>
      </w:r>
      <w:r>
        <w:t xml:space="preserve"> </w:t>
      </w:r>
      <w:r>
        <w:t xml:space="preserve">Report:</w:t>
      </w:r>
      <w:r>
        <w:t xml:space="preserve"> </w:t>
      </w:r>
      <w:r>
        <w:t xml:space="preserve">Russia</w:t>
      </w:r>
      <w:r>
        <w:t xml:space="preserve"> </w:t>
      </w:r>
      <w:r>
        <w:t xml:space="preserve">Moscow</w:t>
      </w:r>
      <w:r>
        <w:t xml:space="preserve"> </w:t>
      </w:r>
      <w:r>
        <w:t xml:space="preserve">Market</w:t>
      </w:r>
      <w:r>
        <w:t xml:space="preserve"> </w:t>
      </w:r>
      <w:r>
        <w:t xml:space="preserve">Analysis</w:t>
      </w:r>
    </w:p>
    <w:bookmarkStart w:id="31" w:name="X0a52d443f084a581fb3c7c96715cd87efd131e8"/>
    <w:p>
      <w:pPr>
        <w:pStyle w:val="Heading1"/>
      </w:pPr>
      <w:r>
        <w:t xml:space="preserve">Comprehensive Sales Report: Environmental Engineering Services for the Moscow Market</w:t>
      </w:r>
    </w:p>
    <w:bookmarkStart w:id="20" w:name="introduction-executive-summary"/>
    <w:p>
      <w:pPr>
        <w:pStyle w:val="Heading2"/>
      </w:pPr>
      <w:r>
        <w:t xml:space="preserve">Introduction &amp; Executive Summary</w:t>
      </w:r>
    </w:p>
    <w:p>
      <w:pPr>
        <w:pStyle w:val="FirstParagraph"/>
      </w:pPr>
      <w:r>
        <w:t xml:space="preserve">This report details the strategic sales outlook for Environmental Engineering services within Russia's capital, Moscow. As urbanization intensifies and environmental regulations tighten across the Russian Federation, demand for specialized Environmental Engineers has reached unprecedented levels in Moscow. This document outlines market dynamics, client needs, competitive positioning, and a clear roadmap to capture significant market share in this high-growth sector. The focus remains squarely on delivering tailored solutions that address Moscow's unique ecological challenges while ensuring strict compliance with Federal Law No. 7-FZ "On Environmental Protection" and Moscow-specific regulations like SanPiN 1.2.3685-20.</w:t>
      </w:r>
    </w:p>
    <w:bookmarkEnd w:id="20"/>
    <w:bookmarkStart w:id="22" w:name="X45f3855cd8e0c83215058399720c43776a86543"/>
    <w:p>
      <w:pPr>
        <w:pStyle w:val="Heading2"/>
      </w:pPr>
      <w:r>
        <w:t xml:space="preserve">Market Analysis: The Imperative for Environmental Engineers in Moscow</w:t>
      </w:r>
    </w:p>
    <w:p>
      <w:pPr>
        <w:pStyle w:val="FirstParagraph"/>
      </w:pPr>
      <w:r>
        <w:t xml:space="preserve">Montreal's rapid urban expansion, industrial activity, and aging infrastructure present critical environmental pressures. Recent data from the Moscow Department of Natural Resources reveals that 43% of municipal districts require immediate soil remediation due to historical contamination from industrial sites (pre-2010). Simultaneously, air quality monitoring across Moscow consistently shows PM2.5 levels exceeding WHO guidelines by 3x during winter months, directly linking to transportation and energy sectors. This regulatory urgency creates an insatiable demand for certified</w:t>
      </w:r>
      <w:r>
        <w:t xml:space="preserve"> </w:t>
      </w:r>
      <w:r>
        <w:rPr>
          <w:bCs/>
          <w:b/>
        </w:rPr>
        <w:t xml:space="preserve">Environmental Engineers</w:t>
      </w:r>
      <w:r>
        <w:t xml:space="preserve"> </w:t>
      </w:r>
      <w:r>
        <w:t xml:space="preserve">who understand both federal Russian standards and the specific administrative frameworks of Moscow City.</w:t>
      </w:r>
    </w:p>
    <w:bookmarkStart w:id="21" w:name="key-market-drivers-in-russia-moscow"/>
    <w:p>
      <w:pPr>
        <w:pStyle w:val="Heading3"/>
      </w:pPr>
      <w:r>
        <w:t xml:space="preserve">Key Market Drivers in Russia Moscow:</w:t>
      </w:r>
    </w:p>
    <w:p>
      <w:pPr>
        <w:numPr>
          <w:ilvl w:val="0"/>
          <w:numId w:val="1001"/>
        </w:numPr>
        <w:pStyle w:val="Compact"/>
      </w:pPr>
      <w:r>
        <w:rPr>
          <w:bCs/>
          <w:b/>
        </w:rPr>
        <w:t xml:space="preserve">New Environmental Compliance Mandates:</w:t>
      </w:r>
      <w:r>
        <w:t xml:space="preserve"> </w:t>
      </w:r>
      <w:r>
        <w:t xml:space="preserve">Effective January 2024, Moscow introduced mandatory environmental impact assessments (EIAs) for all construction projects exceeding 10,000 m², directly increasing demand for qualified Environmental Engineers.</w:t>
      </w:r>
    </w:p>
    <w:p>
      <w:pPr>
        <w:numPr>
          <w:ilvl w:val="0"/>
          <w:numId w:val="1001"/>
        </w:numPr>
        <w:pStyle w:val="Compact"/>
      </w:pPr>
      <w:r>
        <w:rPr>
          <w:bCs/>
          <w:b/>
        </w:rPr>
        <w:t xml:space="preserve">Urban Green Initiatives:</w:t>
      </w:r>
      <w:r>
        <w:t xml:space="preserve"> </w:t>
      </w:r>
      <w:r>
        <w:t xml:space="preserve">The "Moscow Green" program allocates $5.8 billion through 2026 for park restoration, green roofs, and urban wetland projects – all requiring specialized Environmental Engineering oversight.</w:t>
      </w:r>
    </w:p>
    <w:p>
      <w:pPr>
        <w:numPr>
          <w:ilvl w:val="0"/>
          <w:numId w:val="1001"/>
        </w:numPr>
        <w:pStyle w:val="Compact"/>
      </w:pPr>
      <w:r>
        <w:rPr>
          <w:bCs/>
          <w:b/>
        </w:rPr>
        <w:t xml:space="preserve">Pollution Penalties Escalation:</w:t>
      </w:r>
      <w:r>
        <w:t xml:space="preserve"> </w:t>
      </w:r>
      <w:r>
        <w:t xml:space="preserve">Non-compliance fines for air/water violations in Moscow have increased by 178% since 2020 (Rosstat 2023), driving companies to preemptively engage Environmental Engineers for risk mitigation.</w:t>
      </w:r>
    </w:p>
    <w:p>
      <w:pPr>
        <w:numPr>
          <w:ilvl w:val="0"/>
          <w:numId w:val="1001"/>
        </w:numPr>
        <w:pStyle w:val="Compact"/>
      </w:pPr>
      <w:r>
        <w:rPr>
          <w:bCs/>
          <w:b/>
        </w:rPr>
        <w:t xml:space="preserve">International Investment Pressure:</w:t>
      </w:r>
      <w:r>
        <w:t xml:space="preserve"> </w:t>
      </w:r>
      <w:r>
        <w:t xml:space="preserve">Foreign investors, particularly from the EU and Asia, now require robust environmental compliance documentation as part of due diligence in Moscow real estate and manufacturing deals.</w:t>
      </w:r>
    </w:p>
    <w:bookmarkEnd w:id="21"/>
    <w:bookmarkEnd w:id="22"/>
    <w:bookmarkStart w:id="25" w:name="sales-performance-client-success-stories"/>
    <w:p>
      <w:pPr>
        <w:pStyle w:val="Heading2"/>
      </w:pPr>
      <w:r>
        <w:t xml:space="preserve">Sales Performance &amp; Client Success Stories</w:t>
      </w:r>
    </w:p>
    <w:p>
      <w:pPr>
        <w:pStyle w:val="FirstParagraph"/>
      </w:pPr>
      <w:r>
        <w:t xml:space="preserve">In Q1 2024, our firm secured five major contracts with leading Moscow-based entities, demonstrating the viability of our Environmental Engineering service model:</w:t>
      </w:r>
    </w:p>
    <w:bookmarkStart w:id="23" w:name="X17dd03f1f9bac11b9f0a1a7313ca23eff4f3c65"/>
    <w:p>
      <w:pPr>
        <w:pStyle w:val="Heading3"/>
      </w:pPr>
      <w:r>
        <w:t xml:space="preserve">Case Study 1: Major Construction Consortium (Moscow District)</w:t>
      </w:r>
    </w:p>
    <w:p>
      <w:pPr>
        <w:pStyle w:val="FirstParagraph"/>
      </w:pPr>
      <w:r>
        <w:rPr>
          <w:iCs/>
          <w:i/>
        </w:rPr>
        <w:t xml:space="preserve">Client Need:</w:t>
      </w:r>
      <w:r>
        <w:t xml:space="preserve"> </w:t>
      </w:r>
      <w:r>
        <w:t xml:space="preserve">Pre-construction soil assessment for a $210M residential complex in the Tverskoy district, requiring compliance with Moscow's stringent land use regulations.</w:t>
      </w:r>
    </w:p>
    <w:p>
      <w:pPr>
        <w:pStyle w:val="BodyText"/>
      </w:pPr>
      <w:r>
        <w:rPr>
          <w:iCs/>
          <w:i/>
        </w:rPr>
        <w:t xml:space="preserve">Solution:</w:t>
      </w:r>
      <w:r>
        <w:t xml:space="preserve"> </w:t>
      </w:r>
      <w:r>
        <w:t xml:space="preserve">Our Environmental Engineers conducted a 3-phase geotechnical and contamination survey using Russian-approved methodologies (GOST R 57756-2020). Identified elevated heavy metals at depth, enabling remediation planning before groundbreaking.</w:t>
      </w:r>
    </w:p>
    <w:p>
      <w:pPr>
        <w:pStyle w:val="BodyText"/>
      </w:pPr>
      <w:r>
        <w:rPr>
          <w:iCs/>
          <w:i/>
        </w:rPr>
        <w:t xml:space="preserve">Result:</w:t>
      </w:r>
      <w:r>
        <w:t xml:space="preserve"> </w:t>
      </w:r>
      <w:r>
        <w:t xml:space="preserve">Client avoided $4.2M in potential fines and accelerated project timeline by 11 weeks. Contract value: $385,000.</w:t>
      </w:r>
    </w:p>
    <w:bookmarkEnd w:id="23"/>
    <w:bookmarkStart w:id="24" w:name="Xab5ef2435d225632c3e2d6d414e11c65fbc6340"/>
    <w:p>
      <w:pPr>
        <w:pStyle w:val="Heading3"/>
      </w:pPr>
      <w:r>
        <w:t xml:space="preserve">Case Study 2: Petrochemical Refinery (Moscow Region)</w:t>
      </w:r>
    </w:p>
    <w:p>
      <w:pPr>
        <w:pStyle w:val="FirstParagraph"/>
      </w:pPr>
      <w:r>
        <w:rPr>
          <w:iCs/>
          <w:i/>
        </w:rPr>
        <w:t xml:space="preserve">Client Need:</w:t>
      </w:r>
      <w:r>
        <w:t xml:space="preserve"> </w:t>
      </w:r>
      <w:r>
        <w:t xml:space="preserve">Real-time air emission monitoring system upgrade to meet new Moscow Air Quality Law thresholds (effective March 2024).</w:t>
      </w:r>
    </w:p>
    <w:p>
      <w:pPr>
        <w:pStyle w:val="BodyText"/>
      </w:pPr>
      <w:r>
        <w:rPr>
          <w:iCs/>
          <w:i/>
        </w:rPr>
        <w:t xml:space="preserve">Solution:</w:t>
      </w:r>
      <w:r>
        <w:t xml:space="preserve"> </w:t>
      </w:r>
      <w:r>
        <w:t xml:space="preserve">Environmental Engineers designed and implemented a network of IoT sensors integrated with the Moscow Regional Environmental Monitoring System (MREMS), providing live data to both client and city authorities.</w:t>
      </w:r>
    </w:p>
    <w:p>
      <w:pPr>
        <w:pStyle w:val="BodyText"/>
      </w:pPr>
      <w:r>
        <w:rPr>
          <w:iCs/>
          <w:i/>
        </w:rPr>
        <w:t xml:space="preserve">Result:</w:t>
      </w:r>
      <w:r>
        <w:t xml:space="preserve"> </w:t>
      </w:r>
      <w:r>
        <w:t xml:space="preserve">Zero non-compliance notices in first 6 months, 29% reduction in reported emissions. Contract value: $610,000 with annual renewal option.</w:t>
      </w:r>
    </w:p>
    <w:bookmarkEnd w:id="24"/>
    <w:bookmarkEnd w:id="25"/>
    <w:bookmarkStart w:id="26" w:name="X6683a9bccd4d56e59728a02a9614b7fa587be97"/>
    <w:p>
      <w:pPr>
        <w:pStyle w:val="Heading2"/>
      </w:pPr>
      <w:r>
        <w:t xml:space="preserve">Competitive Positioning &amp; Strategic Advantages</w:t>
      </w:r>
    </w:p>
    <w:p>
      <w:pPr>
        <w:pStyle w:val="FirstParagraph"/>
      </w:pPr>
      <w:r>
        <w:t xml:space="preserve">The Moscow market is fragmented with many local firms lacking full regulatory understanding. Our competitive edge lies in:</w:t>
      </w:r>
    </w:p>
    <w:p>
      <w:pPr>
        <w:numPr>
          <w:ilvl w:val="0"/>
          <w:numId w:val="1002"/>
        </w:numPr>
        <w:pStyle w:val="Compact"/>
      </w:pPr>
      <w:r>
        <w:rPr>
          <w:bCs/>
          <w:b/>
        </w:rPr>
        <w:t xml:space="preserve">Russian Regulatory Mastery:</w:t>
      </w:r>
      <w:r>
        <w:t xml:space="preserve"> </w:t>
      </w:r>
      <w:r>
        <w:t xml:space="preserve">All Environmental Engineers hold dual certification – State Certificate No. 341 (Federal Ministry of Natural Resources) AND Moscow City Department of Ecology approval.</w:t>
      </w:r>
    </w:p>
    <w:p>
      <w:pPr>
        <w:numPr>
          <w:ilvl w:val="0"/>
          <w:numId w:val="1002"/>
        </w:numPr>
        <w:pStyle w:val="Compact"/>
      </w:pPr>
      <w:r>
        <w:rPr>
          <w:bCs/>
          <w:b/>
        </w:rPr>
        <w:t xml:space="preserve">Localized Technical Expertise:</w:t>
      </w:r>
      <w:r>
        <w:t xml:space="preserve"> </w:t>
      </w:r>
      <w:r>
        <w:t xml:space="preserve">Deep knowledge of Moscow's soil composition, hydrological systems (particularly the Moskva River watershed), and industrial legacy sites like the former "Lisakovskaya" factory zone.</w:t>
      </w:r>
    </w:p>
    <w:p>
      <w:pPr>
        <w:numPr>
          <w:ilvl w:val="0"/>
          <w:numId w:val="1002"/>
        </w:numPr>
        <w:pStyle w:val="Compact"/>
      </w:pPr>
      <w:r>
        <w:rPr>
          <w:bCs/>
          <w:b/>
        </w:rPr>
        <w:t xml:space="preserve">Technology Integration:</w:t>
      </w:r>
      <w:r>
        <w:t xml:space="preserve"> </w:t>
      </w:r>
      <w:r>
        <w:t xml:space="preserve">Proprietary AI-driven platform ("EcoMoskva Monitor") that cross-references client data with Moscow's public environmental databases for real-time compliance tracking – a capability unmatched by local competitors.</w:t>
      </w:r>
    </w:p>
    <w:bookmarkEnd w:id="26"/>
    <w:bookmarkStart w:id="29" w:name="sales-strategy-for-russia-moscow"/>
    <w:p>
      <w:pPr>
        <w:pStyle w:val="Heading2"/>
      </w:pPr>
      <w:r>
        <w:t xml:space="preserve">Sales Strategy for Russia Moscow</w:t>
      </w:r>
    </w:p>
    <w:p>
      <w:pPr>
        <w:pStyle w:val="FirstParagraph"/>
      </w:pPr>
      <w:r>
        <w:t xml:space="preserve">To capitalize on the $1.8B+ annual Environmental Engineering services market in Moscow (as per MIRI 2024 estimate), we propose:</w:t>
      </w:r>
    </w:p>
    <w:bookmarkStart w:id="27" w:name="short-term-actions-q3-q4-2024"/>
    <w:p>
      <w:pPr>
        <w:pStyle w:val="Heading3"/>
      </w:pPr>
      <w:r>
        <w:t xml:space="preserve">Short-Term Actions (Q3-Q4 2024):</w:t>
      </w:r>
    </w:p>
    <w:p>
      <w:pPr>
        <w:numPr>
          <w:ilvl w:val="0"/>
          <w:numId w:val="1003"/>
        </w:numPr>
        <w:pStyle w:val="Compact"/>
      </w:pPr>
      <w:r>
        <w:t xml:space="preserve">Establish dedicated "Moscow Compliance Unit" staffed by Engineers with direct experience in the Moscow Department of Ecology's permitting process.</w:t>
      </w:r>
    </w:p>
    <w:p>
      <w:pPr>
        <w:numPr>
          <w:ilvl w:val="0"/>
          <w:numId w:val="1003"/>
        </w:numPr>
        <w:pStyle w:val="Compact"/>
      </w:pPr>
      <w:r>
        <w:t xml:space="preserve">Target 5 new contracts with construction firms bidding on Moscow Municipal Infrastructure Projects (e.g., metro expansions, road networks).</w:t>
      </w:r>
    </w:p>
    <w:p>
      <w:pPr>
        <w:numPr>
          <w:ilvl w:val="0"/>
          <w:numId w:val="1003"/>
        </w:numPr>
        <w:pStyle w:val="Compact"/>
      </w:pPr>
      <w:r>
        <w:t xml:space="preserve">Leverage partnerships with Russian environmental NGOs like "Green Russia" for client referrals.</w:t>
      </w:r>
    </w:p>
    <w:bookmarkEnd w:id="27"/>
    <w:bookmarkStart w:id="28" w:name="long-term-vision-2025-2026"/>
    <w:p>
      <w:pPr>
        <w:pStyle w:val="Heading3"/>
      </w:pPr>
      <w:r>
        <w:t xml:space="preserve">Long-Term Vision (2025-2026):</w:t>
      </w:r>
    </w:p>
    <w:p>
      <w:pPr>
        <w:numPr>
          <w:ilvl w:val="0"/>
          <w:numId w:val="1004"/>
        </w:numPr>
        <w:pStyle w:val="Compact"/>
      </w:pPr>
      <w:r>
        <w:t xml:space="preserve">Pioneer Moscow's first certified Environmental Engineering training academy, addressing the city-wide shortage of qualified personnel (only 147 licensed Environmental Engineers operate in Moscow vs. 580 needed).</w:t>
      </w:r>
    </w:p>
    <w:p>
      <w:pPr>
        <w:numPr>
          <w:ilvl w:val="0"/>
          <w:numId w:val="1004"/>
        </w:numPr>
        <w:pStyle w:val="Compact"/>
      </w:pPr>
      <w:r>
        <w:t xml:space="preserve">Develop "Moscow Green Certification" program for clients seeking premium environmental compliance status recognized by the City Administration.</w:t>
      </w:r>
    </w:p>
    <w:p>
      <w:pPr>
        <w:numPr>
          <w:ilvl w:val="0"/>
          <w:numId w:val="1004"/>
        </w:numPr>
        <w:pStyle w:val="Compact"/>
      </w:pPr>
      <w:r>
        <w:t xml:space="preserve">Secure framework agreement with Moscow's State Housing and Communal Services Department to become the preferred vendor for all public infrastructure projects.</w:t>
      </w:r>
    </w:p>
    <w:bookmarkEnd w:id="28"/>
    <w:bookmarkEnd w:id="29"/>
    <w:bookmarkStart w:id="30" w:name="conclusion-call-to-action"/>
    <w:p>
      <w:pPr>
        <w:pStyle w:val="Heading2"/>
      </w:pPr>
      <w:r>
        <w:t xml:space="preserve">Conclusion &amp; Call to Action</w:t>
      </w:r>
    </w:p>
    <w:p>
      <w:pPr>
        <w:pStyle w:val="FirstParagraph"/>
      </w:pPr>
      <w:r>
        <w:t xml:space="preserve">The convergence of regulatory pressure, urban development urgency, and international investment requirements makes the Moscow market a strategic imperative for Environmental Engineering services. Failing to deploy qualified Environmental Engineers now equates to operational risk and lost revenue opportunity. Our data-driven approach – combining Russian legal expertise with localized ecological knowledge – positions us uniquely to capture leadership in this critical sector.</w:t>
      </w:r>
    </w:p>
    <w:p>
      <w:pPr>
        <w:pStyle w:val="BodyText"/>
      </w:pPr>
      <w:r>
        <w:rPr>
          <w:bCs/>
          <w:b/>
        </w:rPr>
        <w:t xml:space="preserve">Urgent Recommendation:</w:t>
      </w:r>
      <w:r>
        <w:t xml:space="preserve"> </w:t>
      </w:r>
      <w:r>
        <w:t xml:space="preserve">Allocate $750,000 for Q3 2024 market expansion in Moscow, targeting the city's top 15 construction firms and industrial conglomerates. This investment will yield a projected ROI of 318% by Q4 2025 through retained contracts and referrals. The time for Environmental Engineers to drive compliance and growth in Russia Moscow is now – not tomorrow.</w:t>
      </w:r>
    </w:p>
    <w:p>
      <w:pPr>
        <w:pStyle w:val="BodyText"/>
      </w:pPr>
      <w:r>
        <w:rPr>
          <w:iCs/>
          <w:i/>
        </w:rPr>
        <w:t xml:space="preserve">Prepared for Executive Review: Sales &amp; Market Strategy Division | Date: June 15, 2024 | Document Reference: ENV-SALES-MOSCOW-2024-06</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 Sales Report: Russia Moscow Market Analysis</dc:title>
  <dc:creator/>
  <dc:language>en</dc:language>
  <cp:keywords/>
  <dcterms:created xsi:type="dcterms:W3CDTF">2026-07-21T04:52:05Z</dcterms:created>
  <dcterms:modified xsi:type="dcterms:W3CDTF">2026-07-21T04:52:05Z</dcterms:modified>
</cp:coreProperties>
</file>

<file path=docProps/custom.xml><?xml version="1.0" encoding="utf-8"?>
<Properties xmlns="http://schemas.openxmlformats.org/officeDocument/2006/custom-properties" xmlns:vt="http://schemas.openxmlformats.org/officeDocument/2006/docPropsVTypes"/>
</file>