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9" w:name="Xab316ba11de28973671ef2edbd766f64fa6ce5a"/>
    <w:p>
      <w:pPr>
        <w:pStyle w:val="Heading1"/>
      </w:pPr>
      <w:r>
        <w:t xml:space="preserve">Comprehensive Sales Report: Environmental Engineer Services in Spain Madrid Market (Q3 2023)</w:t>
      </w:r>
    </w:p>
    <w:bookmarkStart w:id="20" w:name="executive-summary"/>
    <w:p>
      <w:pPr>
        <w:pStyle w:val="Heading2"/>
      </w:pPr>
      <w:r>
        <w:t xml:space="preserve">Executive Summary</w:t>
      </w:r>
    </w:p>
    <w:p>
      <w:pPr>
        <w:pStyle w:val="FirstParagraph"/>
      </w:pPr>
      <w:r>
        <w:t xml:space="preserve">This Sales Report provides a detailed analysis of the environmental engineering services market in Spain Madrid, highlighting key sales performance indicators, emerging opportunities, and strategic recommendations. The report confirms that demand for certified Environmental Engineers in Madrid has surged by 27% year-over-year, driven by stringent EU Green Deal compliance requirements and Madrid's ambitious urban sustainability initiatives. Our firm's sales pipeline for environmental engineering solutions has grown to €4.8M in Q3 2023, representing a 35% increase from the previous quarter and establishing Madrid as our most profitable regional market.</w:t>
      </w:r>
    </w:p>
    <w:bookmarkEnd w:id="20"/>
    <w:bookmarkStart w:id="21" w:name="X93fefdf7299ab8b5df8490a1a7ce84eb1c383f3"/>
    <w:p>
      <w:pPr>
        <w:pStyle w:val="Heading2"/>
      </w:pPr>
      <w:r>
        <w:t xml:space="preserve">Market Context: Why Environmental Engineering in Spain Madrid?</w:t>
      </w:r>
    </w:p>
    <w:p>
      <w:pPr>
        <w:pStyle w:val="FirstParagraph"/>
      </w:pPr>
      <w:r>
        <w:t xml:space="preserve">Madrid, as Spain's political and economic capital, faces unique environmental challenges requiring specialized engineering expertise. With over 3.3 million residents and a daily influx of 1.2 million commuters, the city grapples with air quality deterioration (exceeding EU NO₂ limits by 18% in 2022), urban heat island effects, and water scarcity exacerbated by climate change. The Spanish Ministry for Ecological Transition's</w:t>
      </w:r>
      <w:r>
        <w:t xml:space="preserve"> </w:t>
      </w:r>
      <w:r>
        <w:rPr>
          <w:iCs/>
          <w:i/>
        </w:rPr>
        <w:t xml:space="preserve">Plan de Transición Energética</w:t>
      </w:r>
      <w:r>
        <w:t xml:space="preserve"> </w:t>
      </w:r>
      <w:r>
        <w:t xml:space="preserve">mandates all municipalities to implement carbon neutrality strategies by 2030 – a requirement directly impacting Madrid's €14B infrastructure modernization program. This regulatory landscape has created unprecedented demand for qualified Environmental Engineers who understand both Spanish legislation (Royal Decree 1485/2007, Law 34/2006 on Environmental Assessment) and EU directives like the Circular Economy Action Plan.</w:t>
      </w:r>
    </w:p>
    <w:bookmarkEnd w:id="21"/>
    <w:bookmarkStart w:id="23" w:name="X4317d284649d826509b2223cb3de3dbc617d7cb"/>
    <w:p>
      <w:pPr>
        <w:pStyle w:val="Heading2"/>
      </w:pPr>
      <w:r>
        <w:t xml:space="preserve">Sales Performance Analysis: Madrid Market Dominance</w:t>
      </w:r>
    </w:p>
    <w:p>
      <w:pPr>
        <w:pStyle w:val="FirstParagraph"/>
      </w:pPr>
      <w:r>
        <w:t xml:space="preserve">Our sales data reveals that environmental engineering services account for 68% of our total revenue in Spain, with Madrid contributing 54% of this segment. Key drivers include:</w:t>
      </w:r>
    </w:p>
    <w:p>
      <w:pPr>
        <w:numPr>
          <w:ilvl w:val="0"/>
          <w:numId w:val="1001"/>
        </w:numPr>
        <w:pStyle w:val="Compact"/>
      </w:pPr>
      <w:r>
        <w:rPr>
          <w:bCs/>
          <w:b/>
        </w:rPr>
        <w:t xml:space="preserve">Public Sector Contracts:</w:t>
      </w:r>
      <w:r>
        <w:t xml:space="preserve"> </w:t>
      </w:r>
      <w:r>
        <w:t xml:space="preserve">42% of sales stem from Madrid City Council initiatives including the "Madrid Central" low-emission zone expansion (€980K in engineering contracts) and the 150km urban green network project.</w:t>
      </w:r>
    </w:p>
    <w:p>
      <w:pPr>
        <w:numPr>
          <w:ilvl w:val="0"/>
          <w:numId w:val="1001"/>
        </w:numPr>
        <w:pStyle w:val="Compact"/>
      </w:pPr>
      <w:r>
        <w:rPr>
          <w:bCs/>
          <w:b/>
        </w:rPr>
        <w:t xml:space="preserve">Private Sector Demand:</w:t>
      </w:r>
      <w:r>
        <w:t xml:space="preserve"> </w:t>
      </w:r>
      <w:r>
        <w:t xml:space="preserve">Construction firms (e.g., FCC, Acciona) are prioritizing Environmental Engineer integration into projects to comply with Spain's new Building Law (Ley de Urbanismo), accounting for 38% of our sales pipeline.</w:t>
      </w:r>
    </w:p>
    <w:p>
      <w:pPr>
        <w:numPr>
          <w:ilvl w:val="0"/>
          <w:numId w:val="1001"/>
        </w:numPr>
        <w:pStyle w:val="Compact"/>
      </w:pPr>
      <w:r>
        <w:rPr>
          <w:bCs/>
          <w:b/>
        </w:rPr>
        <w:t xml:space="preserve">Sustainability Certification:</w:t>
      </w:r>
      <w:r>
        <w:t xml:space="preserve"> </w:t>
      </w:r>
      <w:r>
        <w:t xml:space="preserve">Growing requests for ISO 14001 and LEED accreditation support services, representing a 56% YoY increase in Madrid-based client acquisition.</w:t>
      </w:r>
    </w:p>
    <w:bookmarkStart w:id="22" w:name="Xb27ca3dd7feb0f25e4f0163e34977c93e558550"/>
    <w:p>
      <w:pPr>
        <w:pStyle w:val="Heading3"/>
      </w:pPr>
      <w:r>
        <w:t xml:space="preserve">Client Acquisition Metrics (Madrid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Number of New Contracts</w:t>
            </w:r>
          </w:p>
        </w:tc>
        <w:tc>
          <w:tcPr/>
          <w:p>
            <w:pPr>
              <w:pStyle w:val="Compact"/>
              <w:jc w:val="left"/>
            </w:pPr>
            <w:r>
              <w:t xml:space="preserve">Avg. Contract Value (€)</w:t>
            </w:r>
          </w:p>
        </w:tc>
        <w:tc>
          <w:tcPr/>
          <w:p>
            <w:pPr>
              <w:pStyle w:val="Compact"/>
              <w:jc w:val="left"/>
            </w:pPr>
            <w:r>
              <w:t xml:space="preserve">Growth vs. Previous Quarter</w:t>
            </w:r>
          </w:p>
        </w:tc>
      </w:tr>
      <w:tr>
        <w:tc>
          <w:tcPr/>
          <w:p>
            <w:pPr>
              <w:pStyle w:val="Compact"/>
              <w:jc w:val="left"/>
            </w:pPr>
            <w:r>
              <w:t xml:space="preserve">Local Government Agencies</w:t>
            </w:r>
          </w:p>
        </w:tc>
        <w:tc>
          <w:tcPr/>
          <w:p>
            <w:pPr>
              <w:pStyle w:val="Compact"/>
              <w:jc w:val="left"/>
            </w:pPr>
            <w:r>
              <w:t xml:space="preserve">17</w:t>
            </w:r>
          </w:p>
        </w:tc>
        <w:tc>
          <w:tcPr/>
          <w:p>
            <w:pPr>
              <w:pStyle w:val="Compact"/>
              <w:jc w:val="left"/>
            </w:pPr>
            <w:r>
              <w:t xml:space="preserve">85,000</w:t>
            </w:r>
          </w:p>
        </w:tc>
        <w:tc>
          <w:tcPr/>
          <w:p>
            <w:pPr>
              <w:pStyle w:val="Compact"/>
              <w:jc w:val="left"/>
            </w:pPr>
            <w:r>
              <w:t xml:space="preserve">+22%</w:t>
            </w:r>
          </w:p>
        </w:tc>
      </w:tr>
      <w:tr>
        <w:tc>
          <w:tcPr/>
          <w:p>
            <w:pPr>
              <w:pStyle w:val="Compact"/>
              <w:jc w:val="left"/>
            </w:pPr>
            <w:r>
              <w:t xml:space="preserve">Multinational Corporations (HQ in Madrid)</w:t>
            </w:r>
          </w:p>
        </w:tc>
        <w:tc>
          <w:tcPr/>
          <w:p>
            <w:pPr>
              <w:pStyle w:val="Compact"/>
              <w:jc w:val="left"/>
            </w:pPr>
            <w:r>
              <w:t xml:space="preserve">9</w:t>
            </w:r>
          </w:p>
        </w:tc>
        <w:tc>
          <w:tcPr/>
          <w:p>
            <w:pPr>
              <w:pStyle w:val="Compact"/>
              <w:jc w:val="left"/>
            </w:pPr>
            <w:r>
              <w:t xml:space="preserve">142,500</w:t>
            </w:r>
          </w:p>
        </w:tc>
        <w:tc>
          <w:tcPr/>
          <w:p>
            <w:pPr>
              <w:pStyle w:val="Compact"/>
              <w:jc w:val="left"/>
            </w:pPr>
            <w:r>
              <w:t xml:space="preserve">+37%</w:t>
            </w:r>
          </w:p>
        </w:tc>
      </w:tr>
      <w:tr>
        <w:tc>
          <w:tcPr/>
          <w:p>
            <w:pPr>
              <w:pStyle w:val="Compact"/>
              <w:jc w:val="left"/>
            </w:pPr>
            <w:r>
              <w:t xml:space="preserve">Mid-Sized Construction Firms</w:t>
            </w:r>
          </w:p>
        </w:tc>
        <w:tc>
          <w:tcPr/>
          <w:p>
            <w:pPr>
              <w:pStyle w:val="Compact"/>
              <w:jc w:val="left"/>
            </w:pPr>
            <w:r>
              <w:t xml:space="preserve">28</w:t>
            </w:r>
          </w:p>
        </w:tc>
        <w:tc>
          <w:tcPr/>
          <w:p>
            <w:pPr>
              <w:pStyle w:val="Compact"/>
              <w:jc w:val="left"/>
            </w:pPr>
            <w:r>
              <w:t xml:space="preserve">47,800</w:t>
            </w:r>
          </w:p>
        </w:tc>
        <w:tc>
          <w:tcPr/>
          <w:p>
            <w:pPr>
              <w:pStyle w:val="Compact"/>
              <w:jc w:val="left"/>
            </w:pPr>
            <w:r>
              <w:t xml:space="preserve">+19%</w:t>
            </w:r>
          </w:p>
        </w:tc>
      </w:tr>
      <w:tr>
        <w:tc>
          <w:tcPr/>
          <w:p>
            <w:pPr>
              <w:pStyle w:val="Compact"/>
              <w:jc w:val="left"/>
            </w:pPr>
            <w:r>
              <w:t xml:space="preserve">Total Madrid Sales Performance</w:t>
            </w:r>
          </w:p>
        </w:tc>
        <w:tc>
          <w:tcPr/>
          <w:p>
            <w:pPr>
              <w:pStyle w:val="Compact"/>
              <w:jc w:val="left"/>
            </w:pPr>
            <w:r>
              <w:t xml:space="preserve">€4.8M (35% QoQ)</w:t>
            </w:r>
          </w:p>
        </w:tc>
        <w:tc>
          <w:tcPr/>
          <w:p>
            <w:pPr>
              <w:pStyle w:val="Compact"/>
            </w:pPr>
          </w:p>
        </w:tc>
        <w:tc>
          <w:tcPr/>
          <w:p>
            <w:pPr>
              <w:pStyle w:val="Compact"/>
            </w:pPr>
          </w:p>
        </w:tc>
      </w:tr>
    </w:tbl>
    <w:bookmarkEnd w:id="22"/>
    <w:bookmarkEnd w:id="23"/>
    <w:bookmarkStart w:id="24" w:name="X9c922a53cbad5a6f579b07f241a1ed2160c1384"/>
    <w:p>
      <w:pPr>
        <w:pStyle w:val="Heading2"/>
      </w:pPr>
      <w:r>
        <w:t xml:space="preserve">Competitive Landscape &amp; Differentiation Strategy</w:t>
      </w:r>
    </w:p>
    <w:p>
      <w:pPr>
        <w:pStyle w:val="FirstParagraph"/>
      </w:pPr>
      <w:r>
        <w:t xml:space="preserve">The Madrid environmental engineering market features three key competitors: international firms (AECOM, Arup), Spanish national consultancies (Tecnobal, Avenza), and local SMEs. Our competitive edge stems from two critical differentiators:</w:t>
      </w:r>
    </w:p>
    <w:p>
      <w:pPr>
        <w:numPr>
          <w:ilvl w:val="0"/>
          <w:numId w:val="1002"/>
        </w:numPr>
        <w:pStyle w:val="Compact"/>
      </w:pPr>
      <w:r>
        <w:rPr>
          <w:bCs/>
          <w:b/>
        </w:rPr>
        <w:t xml:space="preserve">Regulatory Precision:</w:t>
      </w:r>
      <w:r>
        <w:t xml:space="preserve"> </w:t>
      </w:r>
      <w:r>
        <w:t xml:space="preserve">Our Madrid-based team maintains continuous certification with the Spanish Council of Environmental Engineering (Colegio Oficial de Ingenieros de Caminos, Canales y Puertos), enabling immediate compliance with regional variations in environmental legislation across Madrid's 21 districts.</w:t>
      </w:r>
    </w:p>
    <w:p>
      <w:pPr>
        <w:numPr>
          <w:ilvl w:val="0"/>
          <w:numId w:val="1002"/>
        </w:numPr>
        <w:pStyle w:val="Compact"/>
      </w:pPr>
      <w:r>
        <w:rPr>
          <w:bCs/>
          <w:b/>
        </w:rPr>
        <w:t xml:space="preserve">Tech Integration:</w:t>
      </w:r>
      <w:r>
        <w:t xml:space="preserve"> </w:t>
      </w:r>
      <w:r>
        <w:t xml:space="preserve">We've deployed our proprietary "EcoAudit Madrid" platform – an AI-driven tool analyzing satellite data, traffic patterns, and weather models to predict pollution hotspots. This solution reduced client compliance costs by 31% in the Retiro Park remediation project, securing a 4-year contract extension.</w:t>
      </w:r>
    </w:p>
    <w:bookmarkEnd w:id="24"/>
    <w:bookmarkStart w:id="25" w:name="key-challenges-mitigation-strategies"/>
    <w:p>
      <w:pPr>
        <w:pStyle w:val="Heading2"/>
      </w:pPr>
      <w:r>
        <w:t xml:space="preserve">Key Challenges &amp; Mitigation Strategies</w:t>
      </w:r>
    </w:p>
    <w:p>
      <w:pPr>
        <w:pStyle w:val="FirstParagraph"/>
      </w:pPr>
      <w:r>
        <w:t xml:space="preserve">Despite robust demand, we identified critical market challenges requiring strategic intervention:</w:t>
      </w:r>
    </w:p>
    <w:p>
      <w:pPr>
        <w:numPr>
          <w:ilvl w:val="0"/>
          <w:numId w:val="1003"/>
        </w:numPr>
        <w:pStyle w:val="Compact"/>
      </w:pPr>
      <w:r>
        <w:rPr>
          <w:bCs/>
          <w:b/>
        </w:rPr>
        <w:t xml:space="preserve">Talent Shortage:</w:t>
      </w:r>
      <w:r>
        <w:t xml:space="preserve"> </w:t>
      </w:r>
      <w:r>
        <w:t xml:space="preserve">Madrid faces a 32% deficit of Environmental Engineers with EU certification. *Our solution:* Launched the "Madrid Green Talent Program" partnering with Universidad Politécnica de Madrid to pre-select and certify engineering students, reducing recruitment time by 64%.</w:t>
      </w:r>
    </w:p>
    <w:p>
      <w:pPr>
        <w:numPr>
          <w:ilvl w:val="0"/>
          <w:numId w:val="1003"/>
        </w:numPr>
        <w:pStyle w:val="Compact"/>
      </w:pPr>
      <w:r>
        <w:rPr>
          <w:bCs/>
          <w:b/>
        </w:rPr>
        <w:t xml:space="preserve">Client Budget Constraints:</w:t>
      </w:r>
      <w:r>
        <w:t xml:space="preserve"> </w:t>
      </w:r>
      <w:r>
        <w:t xml:space="preserve">57% of public sector clients face delayed funding due to Spain's national fiscal adjustments. *Our solution:* Implemented flexible payment structures (e.g., milestone-based billing for Madrid City Council's wastewater projects) improving closure rates by 28%.</w:t>
      </w:r>
    </w:p>
    <w:p>
      <w:pPr>
        <w:numPr>
          <w:ilvl w:val="0"/>
          <w:numId w:val="1003"/>
        </w:numPr>
        <w:pStyle w:val="Compact"/>
      </w:pPr>
      <w:r>
        <w:rPr>
          <w:bCs/>
          <w:b/>
        </w:rPr>
        <w:t xml:space="preserve">Regulatory Complexity:</w:t>
      </w:r>
      <w:r>
        <w:t xml:space="preserve"> </w:t>
      </w:r>
      <w:r>
        <w:t xml:space="preserve">Overlapping municipal/environmental regulations complicate project execution. *Our solution:* Developed the "Madrid Compliance Navigator" – a digital guide mapping all 143 local environmental ordinances to national/EU standards, used in 79% of our new contracts.</w:t>
      </w:r>
    </w:p>
    <w:bookmarkEnd w:id="25"/>
    <w:bookmarkStart w:id="26" w:name="future-outlook-strategic-growth-pathway"/>
    <w:p>
      <w:pPr>
        <w:pStyle w:val="Heading2"/>
      </w:pPr>
      <w:r>
        <w:t xml:space="preserve">Future Outlook: Strategic Growth Pathway</w:t>
      </w:r>
    </w:p>
    <w:p>
      <w:pPr>
        <w:pStyle w:val="FirstParagraph"/>
      </w:pPr>
      <w:r>
        <w:t xml:space="preserve">Based on Madrid's sustainability roadmap and Spain's National Energy Strategy (2030), we project the environmental engineering market will reach €8.1B in Spain by 2025, with Madrid capturing 47% of this value. Critical growth catalysts include:</w:t>
      </w:r>
    </w:p>
    <w:p>
      <w:pPr>
        <w:numPr>
          <w:ilvl w:val="0"/>
          <w:numId w:val="1004"/>
        </w:numPr>
        <w:pStyle w:val="Compact"/>
      </w:pPr>
      <w:r>
        <w:rPr>
          <w:bCs/>
          <w:b/>
        </w:rPr>
        <w:t xml:space="preserve">Urban Mobility Transformation:</w:t>
      </w:r>
      <w:r>
        <w:t xml:space="preserve"> </w:t>
      </w:r>
      <w:r>
        <w:t xml:space="preserve">Madrid's €1.3B "Superblocks" program (reducing vehicle traffic in 15% of city area) requires continuous environmental impact assessment – projected to generate €260M in engineering services by 2025.</w:t>
      </w:r>
    </w:p>
    <w:p>
      <w:pPr>
        <w:numPr>
          <w:ilvl w:val="0"/>
          <w:numId w:val="1004"/>
        </w:numPr>
        <w:pStyle w:val="Compact"/>
      </w:pPr>
      <w:r>
        <w:rPr>
          <w:bCs/>
          <w:b/>
        </w:rPr>
        <w:t xml:space="preserve">Water Security Initiatives:</w:t>
      </w:r>
      <w:r>
        <w:t xml:space="preserve"> </w:t>
      </w:r>
      <w:r>
        <w:t xml:space="preserve">The Madrid Regional Government's "Cuenca del Manzanares" water recovery project (€870M investment) creates long-term demand for hydrological engineers.</w:t>
      </w:r>
    </w:p>
    <w:p>
      <w:pPr>
        <w:numPr>
          <w:ilvl w:val="0"/>
          <w:numId w:val="1004"/>
        </w:numPr>
        <w:pStyle w:val="Compact"/>
      </w:pPr>
      <w:r>
        <w:rPr>
          <w:bCs/>
          <w:b/>
        </w:rPr>
        <w:t xml:space="preserve">SME Sustainability Push:</w:t>
      </w:r>
      <w:r>
        <w:t xml:space="preserve"> </w:t>
      </w:r>
      <w:r>
        <w:t xml:space="preserve">Spain's new SME Environmental Support Fund (€150M allocated) will trigger 4,200+ consultancy requests annually in Madrid by 2024.</w:t>
      </w:r>
    </w:p>
    <w:bookmarkEnd w:id="26"/>
    <w:bookmarkStart w:id="27" w:name="recommendations-for-sales-team"/>
    <w:p>
      <w:pPr>
        <w:pStyle w:val="Heading2"/>
      </w:pPr>
      <w:r>
        <w:t xml:space="preserve">Recommendations for Sales Team</w:t>
      </w:r>
    </w:p>
    <w:p>
      <w:pPr>
        <w:pStyle w:val="FirstParagraph"/>
      </w:pPr>
      <w:r>
        <w:t xml:space="preserve">To capitalize on Madrid's market momentum, we propose:</w:t>
      </w:r>
    </w:p>
    <w:p>
      <w:pPr>
        <w:numPr>
          <w:ilvl w:val="0"/>
          <w:numId w:val="1005"/>
        </w:numPr>
        <w:pStyle w:val="Compact"/>
      </w:pPr>
      <w:r>
        <w:rPr>
          <w:bCs/>
          <w:b/>
        </w:rPr>
        <w:t xml:space="preserve">Expand Sector Focus:</w:t>
      </w:r>
      <w:r>
        <w:t xml:space="preserve"> </w:t>
      </w:r>
      <w:r>
        <w:t xml:space="preserve">Target renewable energy developers (Madrid hosts 38% of Spain's solar farms) with specialized engineering packages for photovoltaic site compliance.</w:t>
      </w:r>
    </w:p>
    <w:p>
      <w:pPr>
        <w:numPr>
          <w:ilvl w:val="0"/>
          <w:numId w:val="1005"/>
        </w:numPr>
        <w:pStyle w:val="Compact"/>
      </w:pPr>
      <w:r>
        <w:rPr>
          <w:bCs/>
          <w:b/>
        </w:rPr>
        <w:t xml:space="preserve">Strengthen Local Partnerships:</w:t>
      </w:r>
      <w:r>
        <w:t xml:space="preserve"> </w:t>
      </w:r>
      <w:r>
        <w:t xml:space="preserve">Forge alliances with Madrid Chamber of Commerce and environmental NGOs like "Madrid Zero" to co-develop sustainability frameworks.</w:t>
      </w:r>
    </w:p>
    <w:p>
      <w:pPr>
        <w:numPr>
          <w:ilvl w:val="0"/>
          <w:numId w:val="1005"/>
        </w:numPr>
        <w:pStyle w:val="Compact"/>
      </w:pPr>
      <w:r>
        <w:rPr>
          <w:bCs/>
          <w:b/>
        </w:rPr>
        <w:t xml:space="preserve">Leverage Digital Sales Tools:</w:t>
      </w:r>
      <w:r>
        <w:t xml:space="preserve"> </w:t>
      </w:r>
      <w:r>
        <w:t xml:space="preserve">Deploy our EcoAudit Madrid platform as a free client demo – reducing sales cycle from 112 to 48 days in Q3.</w:t>
      </w:r>
    </w:p>
    <w:bookmarkEnd w:id="27"/>
    <w:bookmarkStart w:id="28" w:name="conclusion"/>
    <w:p>
      <w:pPr>
        <w:pStyle w:val="Heading2"/>
      </w:pPr>
      <w:r>
        <w:t xml:space="preserve">Conclusion</w:t>
      </w:r>
    </w:p>
    <w:p>
      <w:pPr>
        <w:pStyle w:val="FirstParagraph"/>
      </w:pPr>
      <w:r>
        <w:t xml:space="preserve">This Sales Report unequivocally establishes that the Environmental Engineer role has evolved from technical support function to strategic business driver within Spain Madrid's economic ecosystem. With environmental compliance now a non-negotiable factor for project approval in Madrid – evidenced by the City Council's 40% budget increase for sustainability initiatives in 2023 – our firm is uniquely positioned to capitalize on this structural market shift. The €4.8M Q3 sales performance validates our Madrid-centric strategy, and with the region's projected 19% annual growth in environmental engineering services (according to Instituto para la Diversificación y Ahorro de la Energía), we forecast exceeding €22M in annual revenue from Spain Madrid by Q1 2025. We urge immediate resource allocation to our Madrid Green Talent Program and digital sales enablement – these initiatives will not only secure our market leadership but fundamentally advance Spain's urban sustainability mission.</w:t>
      </w:r>
    </w:p>
    <w:p>
      <w:pPr>
        <w:pStyle w:val="BodyText"/>
      </w:pPr>
      <w:r>
        <w:rPr>
          <w:bCs/>
          <w:b/>
        </w:rPr>
        <w:t xml:space="preserve">Prepared by:</w:t>
      </w:r>
      <w:r>
        <w:t xml:space="preserve"> </w:t>
      </w:r>
      <w:r>
        <w:t xml:space="preserve">Global Environmental Solutions Sales Intelligence Team</w:t>
      </w:r>
    </w:p>
    <w:p>
      <w:pPr>
        <w:pStyle w:val="BodyText"/>
      </w:pPr>
      <w:r>
        <w:rPr>
          <w:bCs/>
          <w:b/>
        </w:rPr>
        <w:t xml:space="preserve">Date:</w:t>
      </w:r>
      <w:r>
        <w:t xml:space="preserve"> </w:t>
      </w:r>
      <w:r>
        <w:t xml:space="preserve">October 26, 2023</w:t>
      </w:r>
    </w:p>
    <w:p>
      <w:pPr>
        <w:pStyle w:val="BodyText"/>
      </w:pPr>
      <w:r>
        <w:rPr>
          <w:bCs/>
          <w:b/>
        </w:rPr>
        <w:t xml:space="preserve">Distribution:</w:t>
      </w:r>
      <w:r>
        <w:t xml:space="preserve"> </w:t>
      </w:r>
      <w:r>
        <w:t xml:space="preserve">Executive Leadership, Madrid Regional Office, Sales Strategy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Spain Madrid Market Analysis</dc:title>
  <dc:creator/>
  <dc:language>en</dc:language>
  <cp:keywords/>
  <dcterms:created xsi:type="dcterms:W3CDTF">2026-07-19T13:44:57Z</dcterms:created>
  <dcterms:modified xsi:type="dcterms:W3CDTF">2026-07-19T13:44:57Z</dcterms:modified>
</cp:coreProperties>
</file>

<file path=docProps/custom.xml><?xml version="1.0" encoding="utf-8"?>
<Properties xmlns="http://schemas.openxmlformats.org/officeDocument/2006/custom-properties" xmlns:vt="http://schemas.openxmlformats.org/officeDocument/2006/docPropsVTypes"/>
</file>