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Istanbul</w:t>
      </w:r>
      <w:r>
        <w:t xml:space="preserve"> </w:t>
      </w:r>
      <w:r>
        <w:t xml:space="preserve">Market</w:t>
      </w:r>
    </w:p>
    <w:bookmarkStart w:id="28" w:name="Xddc9a4569bc22eb60bc82ed125facbb5ecc6daa"/>
    <w:p>
      <w:pPr>
        <w:pStyle w:val="Heading1"/>
      </w:pPr>
      <w:r>
        <w:t xml:space="preserve">Environmental Engineering Services Sales Report: Istanbul Market Analysis &amp; Performance Summary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&amp; Strategic Partners</w:t>
      </w:r>
      <w:r>
        <w:br/>
      </w:r>
      <w:r>
        <w:rPr>
          <w:bCs/>
          <w:b/>
        </w:rPr>
        <w:t xml:space="preserve">Prepared By:</w:t>
      </w:r>
      <w:r>
        <w:t xml:space="preserve"> </w:t>
      </w:r>
      <w:r>
        <w:t xml:space="preserve">Sales &amp; Sustainability Division, Istanbul Environmental Solutions Ltd.</w:t>
      </w:r>
      <w:r>
        <w:br/>
      </w:r>
      <w:r>
        <w:rPr>
          <w:bCs/>
          <w:b/>
        </w:rPr>
        <w:t xml:space="preserve">Geographic Focus:</w:t>
      </w:r>
      <w:r>
        <w:t xml:space="preserve"> </w:t>
      </w:r>
      <w:r>
        <w:t xml:space="preserve">Turkey Istanbul Metropolitan Area</w:t>
      </w:r>
    </w:p>
    <w:bookmarkStart w:id="20" w:name="i.-executive-summary"/>
    <w:p>
      <w:pPr>
        <w:pStyle w:val="Heading2"/>
      </w:pPr>
      <w:r>
        <w:t xml:space="preserve">I. Executive Summary</w:t>
      </w:r>
    </w:p>
    <w:p>
      <w:pPr>
        <w:pStyle w:val="FirstParagraph"/>
      </w:pPr>
      <w:r>
        <w:t xml:space="preserve">This report details the performance of Environmental Engineering services within the competitive landscape of Turkey's most populous city, Istanbul. As urbanization accelerates and environmental regulations tighten under Turkish law (notably Law No. 2872 on Solid Waste Management and recent amendments to the Environmental Law No. 2872), demand for specialized Environmental Engineer expertise has surged by 18% year-over-year in Istanbul alone. Our Sales Report confirms that strategic deployment of highly qualified Environmental Engineers across critical infrastructure, industrial compliance, and sustainable urban development projects has driven a 24% increase in service revenue compared to Q3 2022. This growth is directly attributed to our ability to address Istanbul's unique environmental challenges – including Bosphorus water quality preservation, rapid construction waste management needs from the new Istanbul Airport expansion, and air pollution mitigation in densely populated districts like Kadıköy and Ümraniye.</w:t>
      </w:r>
    </w:p>
    <w:bookmarkEnd w:id="20"/>
    <w:bookmarkStart w:id="21" w:name="Xb1bdd8608f91a94882f34daed98d18df03d0a92"/>
    <w:p>
      <w:pPr>
        <w:pStyle w:val="Heading2"/>
      </w:pPr>
      <w:r>
        <w:t xml:space="preserve">II. Market Context: Environmental Engineering Imperatives in Turkey Istanbul</w:t>
      </w:r>
    </w:p>
    <w:p>
      <w:pPr>
        <w:pStyle w:val="FirstParagraph"/>
      </w:pPr>
      <w:r>
        <w:t xml:space="preserve">Istanbul's position as a global metropolis (population ~16 million) creates unparalleled environmental pressures. The Turkish government's "National Environmental Action Plan" (2023-2030) prioritizes Istanbul, mandating strict adherence to EU-aligned standards for wastewater treatment, air quality monitoring, and landfill management. This regulatory environment has fundamentally shifted the market: Environmental Engineers are no longer just consultants; they are strategic business partners enabling clients to avoid crippling fines (up to ₺25 million under Law No. 1609), secure permits faster, and access green financing initiatives like the Turkish Climate Change Fund. Our Sales Report demonstrates that clients increasingly view Environmental Engineer services as essential investments, not costs – directly impacting our sales pipeline.</w:t>
      </w:r>
    </w:p>
    <w:bookmarkEnd w:id="21"/>
    <w:bookmarkStart w:id="22" w:name="X4eab2519659a91386636319314799dff8a46874"/>
    <w:p>
      <w:pPr>
        <w:pStyle w:val="Heading2"/>
      </w:pPr>
      <w:r>
        <w:t xml:space="preserve">III. Key Sales Performance Metrics (Istanbul Market -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Key Client Segments (Istanbul)</w:t>
            </w:r>
          </w:p>
        </w:tc>
      </w:tr>
      <w:tr>
        <w:tc>
          <w:tcPr/>
          <w:p>
            <w:pPr>
              <w:pStyle w:val="Compact"/>
              <w:jc w:val="left"/>
            </w:pPr>
            <w:r>
              <w:t xml:space="preserve">Industrial Compliance &amp; Waste Management Audits</w:t>
            </w:r>
          </w:p>
        </w:tc>
        <w:tc>
          <w:tcPr/>
          <w:p>
            <w:pPr>
              <w:pStyle w:val="Compact"/>
              <w:jc w:val="left"/>
            </w:pPr>
            <w:r>
              <w:t xml:space="preserve">4,250,000</w:t>
            </w:r>
          </w:p>
        </w:tc>
        <w:tc>
          <w:tcPr/>
          <w:p>
            <w:pPr>
              <w:pStyle w:val="Compact"/>
              <w:jc w:val="left"/>
            </w:pPr>
            <w:r>
              <w:t xml:space="preserve">+31%</w:t>
            </w:r>
          </w:p>
        </w:tc>
        <w:tc>
          <w:tcPr/>
          <w:p>
            <w:pPr>
              <w:pStyle w:val="Compact"/>
              <w:jc w:val="left"/>
            </w:pPr>
            <w:r>
              <w:t xml:space="preserve">Turkish Textile Mills (Kadıköy), Automotive Plants (Tuzla), Food Processors (Bakırköy)</w:t>
            </w:r>
          </w:p>
        </w:tc>
      </w:tr>
      <w:tr>
        <w:tc>
          <w:tcPr/>
          <w:p>
            <w:pPr>
              <w:pStyle w:val="Compact"/>
              <w:jc w:val="left"/>
            </w:pPr>
            <w:r>
              <w:t xml:space="preserve">Sustainable Urban Infrastructure Design</w:t>
            </w:r>
          </w:p>
        </w:tc>
        <w:tc>
          <w:tcPr/>
          <w:p>
            <w:pPr>
              <w:pStyle w:val="Compact"/>
              <w:jc w:val="left"/>
            </w:pPr>
            <w:r>
              <w:t xml:space="preserve">6,800,000</w:t>
            </w:r>
          </w:p>
        </w:tc>
        <w:tc>
          <w:tcPr/>
          <w:p>
            <w:pPr>
              <w:pStyle w:val="Compact"/>
              <w:jc w:val="left"/>
            </w:pPr>
            <w:r>
              <w:t xml:space="preserve">+19%</w:t>
            </w:r>
          </w:p>
        </w:tc>
        <w:tc>
          <w:tcPr/>
          <w:p>
            <w:pPr>
              <w:pStyle w:val="Compact"/>
              <w:jc w:val="left"/>
            </w:pPr>
            <w:r>
              <w:t xml:space="preserve">Istanbul Metropolitan Municipality (IMM), Istanbul Water and Sewerage Administration (İSKİ), Private Developers (New Airport Zone)</w:t>
            </w:r>
          </w:p>
        </w:tc>
      </w:tr>
      <w:tr>
        <w:tc>
          <w:tcPr/>
          <w:p>
            <w:pPr>
              <w:pStyle w:val="Compact"/>
              <w:jc w:val="left"/>
            </w:pPr>
            <w:r>
              <w:t xml:space="preserve">Environmental Impact Assessment (EIA) for Construction</w:t>
            </w:r>
          </w:p>
        </w:tc>
        <w:tc>
          <w:tcPr/>
          <w:p>
            <w:pPr>
              <w:pStyle w:val="Compact"/>
              <w:jc w:val="left"/>
            </w:pPr>
            <w:r>
              <w:t xml:space="preserve">3,100,000</w:t>
            </w:r>
          </w:p>
        </w:tc>
        <w:tc>
          <w:tcPr/>
          <w:p>
            <w:pPr>
              <w:pStyle w:val="Compact"/>
              <w:jc w:val="left"/>
            </w:pPr>
            <w:r>
              <w:t xml:space="preserve">+27%</w:t>
            </w:r>
          </w:p>
        </w:tc>
        <w:tc>
          <w:tcPr/>
          <w:p>
            <w:pPr>
              <w:pStyle w:val="Compact"/>
              <w:jc w:val="left"/>
            </w:pPr>
            <w:r>
              <w:t xml:space="preserve">Real Estate Developers (Marmaray Expansion), Public Works Ministry Projects</w:t>
            </w:r>
          </w:p>
        </w:tc>
      </w:tr>
      <w:tr>
        <w:tc>
          <w:tcPr/>
          <w:p>
            <w:pPr>
              <w:pStyle w:val="Compact"/>
              <w:jc w:val="left"/>
            </w:pPr>
            <w:r>
              <w:t xml:space="preserve">Air Quality Monitoring &amp; Mitigation Systems</w:t>
            </w:r>
          </w:p>
        </w:tc>
        <w:tc>
          <w:tcPr/>
          <w:p>
            <w:pPr>
              <w:pStyle w:val="Compact"/>
              <w:jc w:val="left"/>
            </w:pPr>
            <w:r>
              <w:t xml:space="preserve">1,950,000</w:t>
            </w:r>
          </w:p>
        </w:tc>
        <w:tc>
          <w:tcPr/>
          <w:p>
            <w:pPr>
              <w:pStyle w:val="Compact"/>
              <w:jc w:val="left"/>
            </w:pPr>
            <w:r>
              <w:t xml:space="preserve">+42%</w:t>
            </w:r>
          </w:p>
        </w:tc>
        <w:tc>
          <w:tcPr/>
          <w:p>
            <w:pPr>
              <w:pStyle w:val="Compact"/>
              <w:jc w:val="left"/>
            </w:pPr>
            <w:r>
              <w:t xml:space="preserve">Commercial Property Groups (Zorlu Center), Municipal Districts (Kadıköy)</w:t>
            </w:r>
          </w:p>
        </w:tc>
      </w:tr>
      <w:tr>
        <w:tc>
          <w:tcPr/>
          <w:p>
            <w:pPr>
              <w:pStyle w:val="Compact"/>
              <w:jc w:val="left"/>
            </w:pPr>
            <w:r>
              <w:rPr>
                <w:bCs/>
                <w:b/>
              </w:rPr>
              <w:t xml:space="preserve">Total Q3 2023 Revenue</w:t>
            </w:r>
          </w:p>
        </w:tc>
        <w:tc>
          <w:tcPr/>
          <w:p>
            <w:pPr>
              <w:pStyle w:val="Compact"/>
              <w:jc w:val="left"/>
            </w:pPr>
            <w:r>
              <w:rPr>
                <w:bCs/>
                <w:b/>
              </w:rPr>
              <w:t xml:space="preserve">16,100,000</w:t>
            </w:r>
          </w:p>
        </w:tc>
        <w:tc>
          <w:tcPr/>
          <w:p>
            <w:pPr>
              <w:pStyle w:val="Compact"/>
              <w:jc w:val="left"/>
            </w:pPr>
            <w:r>
              <w:rPr>
                <w:bCs/>
                <w:b/>
              </w:rPr>
              <w:t xml:space="preserve">+24% YoY</w:t>
            </w:r>
          </w:p>
        </w:tc>
        <w:tc>
          <w:tcPr/>
          <w:p>
            <w:pPr>
              <w:pStyle w:val="Compact"/>
              <w:jc w:val="left"/>
            </w:pPr>
            <w:r>
              <w:t xml:space="preserve"> </w:t>
            </w:r>
          </w:p>
        </w:tc>
      </w:tr>
    </w:tbl>
    <w:bookmarkEnd w:id="22"/>
    <w:bookmarkStart w:id="25" w:name="X7bcf580fd4ebd1b92b329905f59bde99a974326"/>
    <w:p>
      <w:pPr>
        <w:pStyle w:val="Heading2"/>
      </w:pPr>
      <w:r>
        <w:t xml:space="preserve">IV. Success Stories: Environmental Engineer-Driven Sales Outcomes</w:t>
      </w:r>
    </w:p>
    <w:bookmarkStart w:id="23" w:name="Xed6762e6aed364ba865e4ce22186948363b6465"/>
    <w:p>
      <w:pPr>
        <w:pStyle w:val="Heading3"/>
      </w:pPr>
      <w:r>
        <w:t xml:space="preserve">A. Istanbul Metropolitan Municipality (IMM) - Bosphorus Water Quality Initiative</w:t>
      </w:r>
    </w:p>
    <w:p>
      <w:pPr>
        <w:pStyle w:val="FirstParagraph"/>
      </w:pPr>
      <w:r>
        <w:rPr>
          <w:iCs/>
          <w:i/>
        </w:rPr>
        <w:t xml:space="preserve">Client Challenge:</w:t>
      </w:r>
      <w:r>
        <w:t xml:space="preserve"> </w:t>
      </w:r>
      <w:r>
        <w:t xml:space="preserve">IMM required rapid, comprehensive assessment of industrial effluent discharge points along the northern Bosphorus shore to prevent EU-mandated penalties under the Black Sea Action Plan. Traditional engineering firms offered generic solutions.</w:t>
      </w:r>
    </w:p>
    <w:p>
      <w:pPr>
        <w:pStyle w:val="BodyText"/>
      </w:pPr>
      <w:r>
        <w:rPr>
          <w:iCs/>
          <w:i/>
        </w:rPr>
        <w:t xml:space="preserve">Sales &amp; Engineering Solution:</w:t>
      </w:r>
      <w:r>
        <w:t xml:space="preserve"> </w:t>
      </w:r>
      <w:r>
        <w:t xml:space="preserve">Our lead Environmental Engineer, Ayşe Yılmaz (TÜBİTAK-certified), designed a localized monitoring network with predictive modeling for real-time pollution hotspots. This solution included AI-driven data analytics integrated with IMM's existing infrastructure – addressing both regulatory compliance and long-term ecological preservation.</w:t>
      </w:r>
    </w:p>
    <w:p>
      <w:pPr>
        <w:pStyle w:val="BodyText"/>
      </w:pPr>
      <w:r>
        <w:rPr>
          <w:iCs/>
          <w:i/>
        </w:rPr>
        <w:t xml:space="preserve">Outcome:</w:t>
      </w:r>
      <w:r>
        <w:t xml:space="preserve"> </w:t>
      </w:r>
      <w:r>
        <w:t xml:space="preserve">Secured a ₺5.2M contract (18-month term), avoided an estimated ₺32M in potential EU fines for IMM, and became the cornerstone for our relationship with the municipality. This project directly contributed ₺1.8M to Q3 revenue and generated three new municipal service requests.</w:t>
      </w:r>
    </w:p>
    <w:bookmarkEnd w:id="23"/>
    <w:bookmarkStart w:id="24" w:name="Xbbd4d5af7af71f1fd0d94b88f2319b7d5028d63"/>
    <w:p>
      <w:pPr>
        <w:pStyle w:val="Heading3"/>
      </w:pPr>
      <w:r>
        <w:t xml:space="preserve">B. New Istanbul Airport Expansion - Sustainable Construction Compliance</w:t>
      </w:r>
    </w:p>
    <w:p>
      <w:pPr>
        <w:pStyle w:val="FirstParagraph"/>
      </w:pPr>
      <w:r>
        <w:rPr>
          <w:iCs/>
          <w:i/>
        </w:rPr>
        <w:t xml:space="preserve">Client Challenge:</w:t>
      </w:r>
      <w:r>
        <w:t xml:space="preserve"> </w:t>
      </w:r>
      <w:r>
        <w:t xml:space="preserve">Major construction consortium faced complex EIA requirements for the airport's Phase 4 expansion, with strict deadlines tied to EU funding disbursement.</w:t>
      </w:r>
    </w:p>
    <w:p>
      <w:pPr>
        <w:pStyle w:val="BodyText"/>
      </w:pPr>
      <w:r>
        <w:rPr>
          <w:iCs/>
          <w:i/>
        </w:rPr>
        <w:t xml:space="preserve">Sales &amp; Engineering Solution:</w:t>
      </w:r>
      <w:r>
        <w:t xml:space="preserve"> </w:t>
      </w:r>
      <w:r>
        <w:t xml:space="preserve">Our Environmental Engineer team (including two German-trained specialists fluent in Turkish and EU standards) delivered a phased EIA package exceeding Turkish Ministry of Environment requirements. Crucially, we embedded waste reduction strategies into the construction planning, saving the client ₺850K in landfill costs alone.</w:t>
      </w:r>
    </w:p>
    <w:p>
      <w:pPr>
        <w:pStyle w:val="BodyText"/>
      </w:pPr>
      <w:r>
        <w:rPr>
          <w:iCs/>
          <w:i/>
        </w:rPr>
        <w:t xml:space="preserve">Outcome:</w:t>
      </w:r>
      <w:r>
        <w:t xml:space="preserve"> </w:t>
      </w:r>
      <w:r>
        <w:t xml:space="preserve">Closed a ₺4.7M contract (Q3), accelerated permit approval by 6 weeks, and positioned us as the go-to firm for large-scale infrastructure projects across Turkey Istanbul. This project's success was pivotal in securing two additional high-value contracts with airport-related logistics firms.</w:t>
      </w:r>
    </w:p>
    <w:bookmarkEnd w:id="24"/>
    <w:bookmarkEnd w:id="25"/>
    <w:bookmarkStart w:id="26" w:name="X99614d371aece02ed66f1ec1c9db84f0291e3a9"/>
    <w:p>
      <w:pPr>
        <w:pStyle w:val="Heading2"/>
      </w:pPr>
      <w:r>
        <w:t xml:space="preserve">V. Strategic Insights &amp; Future Outlook for Environmental Engineering Sales in Istanbul</w:t>
      </w:r>
    </w:p>
    <w:p>
      <w:pPr>
        <w:pStyle w:val="FirstParagraph"/>
      </w:pPr>
      <w:r>
        <w:t xml:space="preserve">The data unequivocally shows that the most successful sales of Environmental Engineering services in Istanbul hinge on three factors: (1) Deep local regulatory knowledge (Turkish Law No. 6440, IMM Bylaws), (2) Proven technical expertise in Istanbul-specific challenges (Bosphorus ecology, seismic soil stability), and (3) Clear demonstration of tangible business value beyond compliance – cost savings, risk mitigation, and access to green capital.</w:t>
      </w:r>
    </w:p>
    <w:p>
      <w:pPr>
        <w:pStyle w:val="BodyText"/>
      </w:pPr>
      <w:r>
        <w:t xml:space="preserve">Looking ahead to Q4 2023 and 2024, we project a sustained 15-18% annual growth in Environmental Engineer service demand across Istanbul. Key drivers include the EU-Turkey Customs Union's environmental clauses, the National Green Growth Strategy, and accelerated urban renewal projects like the "Istanbul City Center Master Plan." Our Sales Report underscores that investing in specialized Environmental Engineers with both international certification (e.g., CEnvP) and local Turkish regulatory fluency is not merely advisable – it's the cornerstone of scalable growth in this market. We recommend allocating 65% of our R&amp;D budget to developing Istanbul-specific environmental modeling tools and expanding our team with certified engineers specializing in marine pollution (critical for Bosphorus) and construction waste tech.</w:t>
      </w:r>
    </w:p>
    <w:bookmarkEnd w:id="26"/>
    <w:bookmarkStart w:id="27" w:name="vi.-conclusion"/>
    <w:p>
      <w:pPr>
        <w:pStyle w:val="Heading2"/>
      </w:pPr>
      <w:r>
        <w:t xml:space="preserve">VI. Conclusion</w:t>
      </w:r>
    </w:p>
    <w:p>
      <w:pPr>
        <w:pStyle w:val="FirstParagraph"/>
      </w:pPr>
      <w:r>
        <w:t xml:space="preserve">The Environmental Engineer is no longer a niche role in the Turkish market; they are the strategic differentiator enabling businesses to thrive within Istanbul's evolving environmental economy. Our Q3 Sales Report confirms that clients in Turkey Istanbul actively seek and pay premium value for Environmental Engineering expertise that directly translates into regulatory success, operational savings, and enhanced corporate sustainability reputation. The integration of Environmental Engineer services into core business strategy is now table stakes for any organization operating in this dynamic city. We are positioned for significant market leadership growth by relentlessly focusing on delivering measurable environmental outcomes as the foundation of our sales narrative.</w:t>
      </w:r>
    </w:p>
    <w:p>
      <w:pPr>
        <w:pStyle w:val="BodyText"/>
      </w:pPr>
      <w:r>
        <w:rPr>
          <w:bCs/>
          <w:b/>
        </w:rPr>
        <w:t xml:space="preserve">Appendix A:</w:t>
      </w:r>
      <w:r>
        <w:t xml:space="preserve"> </w:t>
      </w:r>
      <w:r>
        <w:t xml:space="preserve">Key Turkish Environmental Regulations Impacting Sales (Law No. 2872, Law No. 6440, EU Directive 2013/51/EU)</w:t>
      </w:r>
    </w:p>
    <w:p>
      <w:pPr>
        <w:pStyle w:val="BodyText"/>
      </w:pPr>
      <w:r>
        <w:rPr>
          <w:bCs/>
          <w:b/>
        </w:rPr>
        <w:t xml:space="preserve">Appendix B:</w:t>
      </w:r>
      <w:r>
        <w:t xml:space="preserve"> </w:t>
      </w:r>
      <w:r>
        <w:t xml:space="preserve">Top 5 Istanbul Districts with Highest Environmental Engineering Service Demand (Q3): Kadıköy, Ümraniye, Tuzla, Bakırköy, Beylikdüzü</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Istanbul Market</dc:title>
  <dc:creator/>
  <dc:language>en</dc:language>
  <cp:keywords/>
  <dcterms:created xsi:type="dcterms:W3CDTF">2025-12-11T04:02:34Z</dcterms:created>
  <dcterms:modified xsi:type="dcterms:W3CDTF">2025-12-11T04:02:34Z</dcterms:modified>
</cp:coreProperties>
</file>

<file path=docProps/custom.xml><?xml version="1.0" encoding="utf-8"?>
<Properties xmlns="http://schemas.openxmlformats.org/officeDocument/2006/custom-properties" xmlns:vt="http://schemas.openxmlformats.org/officeDocument/2006/docPropsVTypes"/>
</file>