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Manchester</w:t>
      </w:r>
      <w:r>
        <w:t xml:space="preserve"> </w:t>
      </w:r>
      <w:r>
        <w:t xml:space="preserve">Market</w:t>
      </w:r>
      <w:r>
        <w:t xml:space="preserve"> </w:t>
      </w:r>
      <w:r>
        <w:t xml:space="preserve">Analysis</w:t>
      </w:r>
      <w:r>
        <w:t xml:space="preserve"> </w:t>
      </w:r>
      <w:r>
        <w:t xml:space="preserve">|</w:t>
      </w:r>
      <w:r>
        <w:t xml:space="preserve"> </w:t>
      </w:r>
      <w:r>
        <w:t xml:space="preserve">United</w:t>
      </w:r>
      <w:r>
        <w:t xml:space="preserve"> </w:t>
      </w:r>
      <w:r>
        <w:t xml:space="preserve">Kingdom</w:t>
      </w:r>
    </w:p>
    <w:bookmarkStart w:id="26" w:name="Xa0238ab1c512f62ae3d3c4155cf3c0f4c26d04f"/>
    <w:p>
      <w:pPr>
        <w:pStyle w:val="Heading1"/>
      </w:pPr>
      <w:r>
        <w:t xml:space="preserve">Environmental Engineering Sales Report: Manchester Market Analysis | United Kingdom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UK Regional Operations</w:t>
      </w:r>
      <w:r>
        <w:br/>
      </w:r>
      <w:r>
        <w:rPr>
          <w:bCs/>
          <w:b/>
        </w:rPr>
        <w:t xml:space="preserve">Reporting Period:</w:t>
      </w:r>
      <w:r>
        <w:t xml:space="preserve"> </w:t>
      </w:r>
      <w:r>
        <w:t xml:space="preserve">Q3 2023 (July - September)</w:t>
      </w:r>
      <w:r>
        <w:br/>
      </w:r>
      <w:r>
        <w:rPr>
          <w:bCs/>
          <w:b/>
        </w:rPr>
        <w:t xml:space="preserve">Geographic Focus:</w:t>
      </w:r>
      <w:r>
        <w:t xml:space="preserve"> </w:t>
      </w:r>
      <w:r>
        <w:t xml:space="preserve">Greater Manchester &amp; Associated Metropolitan Areas, United Kingdom</w:t>
      </w:r>
    </w:p>
    <w:bookmarkStart w:id="20" w:name="i.-executive-summary"/>
    <w:p>
      <w:pPr>
        <w:pStyle w:val="Heading2"/>
      </w:pPr>
      <w:r>
        <w:t xml:space="preserve">I. Executive Summary</w:t>
      </w:r>
    </w:p>
    <w:p>
      <w:pPr>
        <w:pStyle w:val="FirstParagraph"/>
      </w:pPr>
      <w:r>
        <w:t xml:space="preserve">This Sales Report provides a comprehensive analysis of the demand, competitive landscape, and growth trajectory for Environmental Engineering services within the United Kingdom Manchester market. The data confirms robust demand driven by legislative pressures, infrastructure renewal initiatives, and corporate sustainability commitments. Environmental Engineers are now positioned as critical assets for businesses navigating complex environmental compliance frameworks across Greater Manchester. Our sales pipeline demonstrates a 32% year-on-year increase in qualified leads specifically seeking Environmental Engineer expertise, with contract values averaging £85,000 per project—significantly outpacing the national average for engineering services. This report underscores the strategic importance of expanding our Environmental Engineer talent acquisition and service delivery capabilities within Manchester to capture a larger share of this high-value market segment.</w:t>
      </w:r>
    </w:p>
    <w:bookmarkEnd w:id="20"/>
    <w:bookmarkStart w:id="21" w:name="X683ee709716ac764133aa2e4c5bd2b21fc743f5"/>
    <w:p>
      <w:pPr>
        <w:pStyle w:val="Heading2"/>
      </w:pPr>
      <w:r>
        <w:t xml:space="preserve">II. Manchester-Specific Market Dynamics Driving Demand</w:t>
      </w:r>
    </w:p>
    <w:p>
      <w:pPr>
        <w:pStyle w:val="FirstParagraph"/>
      </w:pPr>
      <w:r>
        <w:t xml:space="preserve">The United Kingdom Manchester environment presents unique challenges demanding specialized Environmental Engineer solutions, directly fueling our sales momentum:</w:t>
      </w:r>
    </w:p>
    <w:p>
      <w:pPr>
        <w:numPr>
          <w:ilvl w:val="0"/>
          <w:numId w:val="1001"/>
        </w:numPr>
        <w:pStyle w:val="Compact"/>
      </w:pPr>
      <w:r>
        <w:rPr>
          <w:bCs/>
          <w:b/>
        </w:rPr>
        <w:t xml:space="preserve">Legislative Imperatives:</w:t>
      </w:r>
      <w:r>
        <w:t xml:space="preserve"> </w:t>
      </w:r>
      <w:r>
        <w:t xml:space="preserve">Compliance with the Environment Act 2021 and UK-wide Net Zero targets (Manchester aims for carbon neutrality by 2038) creates urgent, recurring demand. Environmental Engineers are essential for developing site-specific Environmental Management Plans (EMPs), assessing biodiversity net gain obligations under the Biodiversity Net Gain Duty, and ensuring adherence to the Clean Air Zone regulations impacting industrial sites across Greater Manchester.</w:t>
      </w:r>
    </w:p>
    <w:p>
      <w:pPr>
        <w:numPr>
          <w:ilvl w:val="0"/>
          <w:numId w:val="1001"/>
        </w:numPr>
        <w:pStyle w:val="Compact"/>
      </w:pPr>
      <w:r>
        <w:rPr>
          <w:bCs/>
          <w:b/>
        </w:rPr>
        <w:t xml:space="preserve">Infrastructure Modernization:</w:t>
      </w:r>
      <w:r>
        <w:t xml:space="preserve"> </w:t>
      </w:r>
      <w:r>
        <w:t xml:space="preserve">Major projects like the Northern Powerhouse Rail, HS2 connections into Manchester Airport, and ongoing regeneration of derelict industrial estates (e.g., Salford Quays) require Environmental Engineers for contaminated land remediation, flood risk assessment (critical in the River Irwell catchment area), and sustainable drainage systems (SuDS) integration. Sales data shows 45% of new client inquiries stem directly from these large-scale development contracts.</w:t>
      </w:r>
    </w:p>
    <w:p>
      <w:pPr>
        <w:numPr>
          <w:ilvl w:val="0"/>
          <w:numId w:val="1001"/>
        </w:numPr>
        <w:pStyle w:val="Compact"/>
      </w:pPr>
      <w:r>
        <w:rPr>
          <w:bCs/>
          <w:b/>
        </w:rPr>
        <w:t xml:space="preserve">Urban Environmental Pressures:</w:t>
      </w:r>
      <w:r>
        <w:t xml:space="preserve"> </w:t>
      </w:r>
      <w:r>
        <w:t xml:space="preserve">Manchester’s dense urban fabric, coupled with persistent air quality challenges (designated Air Quality Management Area), necessitates continuous monitoring and mitigation strategies. Our Environmental Engineers provide critical services like air dispersion modelling, noise pollution assessment for construction phases, and data analytics for local authorities like Manchester City Council.</w:t>
      </w:r>
    </w:p>
    <w:p>
      <w:pPr>
        <w:numPr>
          <w:ilvl w:val="0"/>
          <w:numId w:val="1001"/>
        </w:numPr>
        <w:pStyle w:val="Compact"/>
      </w:pPr>
      <w:r>
        <w:rPr>
          <w:bCs/>
          <w:b/>
        </w:rPr>
        <w:t xml:space="preserve">Corporate ESG Acceleration:</w:t>
      </w:r>
      <w:r>
        <w:t xml:space="preserve"> </w:t>
      </w:r>
      <w:r>
        <w:t xml:space="preserve">Leading businesses headquartered in Manchester (e.g., Greater Manchester Combined Authority, major retailers, logistics firms) are prioritizing Environmental Engineers to meet mandatory Streamlined Energy &amp; Carbon Reporting (SECR) requirements and ambitious corporate ESG goals. This has driven a 28% increase in procurement of Environmental Engineer consultancy services from mid-market firms.</w:t>
      </w:r>
    </w:p>
    <w:bookmarkEnd w:id="21"/>
    <w:bookmarkStart w:id="22" w:name="Xa7b725b451928b34fb9aef7169c1abd36f15121"/>
    <w:p>
      <w:pPr>
        <w:pStyle w:val="Heading2"/>
      </w:pPr>
      <w:r>
        <w:t xml:space="preserve">III. Sales Performance: Key Metrics for Environmental Engineers</w:t>
      </w:r>
    </w:p>
    <w:p>
      <w:pPr>
        <w:pStyle w:val="FirstParagraph"/>
      </w:pPr>
      <w:r>
        <w:t xml:space="preserve">The sales pipeline for Environmental Engineer roles and project-based services within the Manchester market is exceptionally strong:</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 (Manchester)</w:t>
            </w:r>
          </w:p>
        </w:tc>
        <w:tc>
          <w:tcPr/>
          <w:p>
            <w:pPr>
              <w:pStyle w:val="Compact"/>
              <w:jc w:val="left"/>
            </w:pPr>
            <w:r>
              <w:t xml:space="preserve">Q3 2022 (Manchester)</w:t>
            </w:r>
          </w:p>
        </w:tc>
        <w:tc>
          <w:tcPr/>
          <w:p>
            <w:pPr>
              <w:pStyle w:val="Compact"/>
              <w:jc w:val="left"/>
            </w:pPr>
            <w:r>
              <w:t xml:space="preserve">YoY Change</w:t>
            </w:r>
          </w:p>
        </w:tc>
      </w:tr>
      <w:tr>
        <w:tc>
          <w:tcPr/>
          <w:p>
            <w:pPr>
              <w:pStyle w:val="Compact"/>
              <w:jc w:val="left"/>
            </w:pPr>
            <w:r>
              <w:t xml:space="preserve">New Qualified Leads for Environmental Engineer Services</w:t>
            </w:r>
          </w:p>
        </w:tc>
        <w:tc>
          <w:tcPr/>
          <w:p>
            <w:pPr>
              <w:pStyle w:val="Compact"/>
              <w:jc w:val="left"/>
            </w:pPr>
            <w:r>
              <w:t xml:space="preserve">87</w:t>
            </w:r>
          </w:p>
        </w:tc>
        <w:tc>
          <w:tcPr/>
          <w:p>
            <w:pPr>
              <w:pStyle w:val="Compact"/>
              <w:jc w:val="left"/>
            </w:pPr>
            <w:r>
              <w:t xml:space="preserve">66</w:t>
            </w:r>
          </w:p>
        </w:tc>
        <w:tc>
          <w:tcPr/>
          <w:p>
            <w:pPr>
              <w:pStyle w:val="Compact"/>
              <w:jc w:val="left"/>
            </w:pPr>
            <w:r>
              <w:t xml:space="preserve">+31.8%</w:t>
            </w:r>
          </w:p>
        </w:tc>
      </w:tr>
      <w:tr>
        <w:tc>
          <w:tcPr/>
          <w:p>
            <w:pPr>
              <w:pStyle w:val="Compact"/>
              <w:jc w:val="left"/>
            </w:pPr>
            <w:r>
              <w:t xml:space="preserve">Converted Client Contracts (Environmental Engineering)</w:t>
            </w:r>
          </w:p>
        </w:tc>
        <w:tc>
          <w:tcPr/>
          <w:p>
            <w:pPr>
              <w:pStyle w:val="Compact"/>
              <w:jc w:val="left"/>
            </w:pPr>
            <w:r>
              <w:t xml:space="preserve">29</w:t>
            </w:r>
          </w:p>
        </w:tc>
        <w:tc>
          <w:tcPr/>
          <w:p>
            <w:pPr>
              <w:pStyle w:val="Compact"/>
              <w:jc w:val="left"/>
            </w:pPr>
            <w:r>
              <w:t xml:space="preserve">21</w:t>
            </w:r>
          </w:p>
        </w:tc>
        <w:tc>
          <w:tcPr/>
          <w:p>
            <w:pPr>
              <w:pStyle w:val="Compact"/>
              <w:jc w:val="left"/>
            </w:pPr>
            <w:r>
              <w:t xml:space="preserve">+38.1%</w:t>
            </w:r>
          </w:p>
        </w:tc>
      </w:tr>
      <w:tr>
        <w:tc>
          <w:tcPr/>
          <w:p>
            <w:pPr>
              <w:pStyle w:val="Compact"/>
              <w:jc w:val="left"/>
            </w:pPr>
            <w:r>
              <w:t xml:space="preserve">Average Contract Value per Environmental Engineer Project</w:t>
            </w:r>
          </w:p>
        </w:tc>
        <w:tc>
          <w:tcPr/>
          <w:p>
            <w:pPr>
              <w:pStyle w:val="Compact"/>
            </w:pPr>
          </w:p>
        </w:tc>
        <w:tc>
          <w:tcPr/>
          <w:p>
            <w:pPr>
              <w:pStyle w:val="Compact"/>
            </w:pPr>
          </w:p>
        </w:tc>
        <w:tc>
          <w:tcPr/>
          <w:p>
            <w:pPr>
              <w:pStyle w:val="Compact"/>
            </w:pPr>
          </w:p>
        </w:tc>
      </w:tr>
      <w:tr>
        <w:tc>
          <w:tcPr/>
          <w:p>
            <w:pPr>
              <w:pStyle w:val="Compact"/>
              <w:jc w:val="left"/>
            </w:pPr>
            <w:r>
              <w:t xml:space="preserve"> </w:t>
            </w:r>
          </w:p>
        </w:tc>
        <w:tc>
          <w:tcPr/>
          <w:p>
            <w:pPr>
              <w:pStyle w:val="Compact"/>
              <w:jc w:val="left"/>
            </w:pPr>
            <w:r>
              <w:t xml:space="preserve">£85,000</w:t>
            </w:r>
          </w:p>
        </w:tc>
        <w:tc>
          <w:tcPr/>
          <w:p>
            <w:pPr>
              <w:pStyle w:val="Compact"/>
              <w:jc w:val="left"/>
            </w:pPr>
            <w:r>
              <w:t xml:space="preserve">£72,500</w:t>
            </w:r>
          </w:p>
        </w:tc>
        <w:tc>
          <w:tcPr/>
          <w:p>
            <w:pPr>
              <w:pStyle w:val="Compact"/>
              <w:jc w:val="left"/>
            </w:pPr>
            <w:r>
              <w:t xml:space="preserve">+17.2%</w:t>
            </w:r>
          </w:p>
        </w:tc>
      </w:tr>
    </w:tbl>
    <w:bookmarkEnd w:id="22"/>
    <w:bookmarkStart w:id="23" w:name="Xbfb0ac74474622734c80716f452db2c0424a687"/>
    <w:p>
      <w:pPr>
        <w:pStyle w:val="Heading2"/>
      </w:pPr>
      <w:r>
        <w:t xml:space="preserve">IV. Competitive Landscape &amp; Strategic Positioning</w:t>
      </w:r>
    </w:p>
    <w:p>
      <w:pPr>
        <w:pStyle w:val="FirstParagraph"/>
      </w:pPr>
      <w:r>
        <w:t xml:space="preserve">Manchester’s Environmental Engineer market is highly competitive, but our localized approach provides distinct advantages:</w:t>
      </w:r>
    </w:p>
    <w:p>
      <w:pPr>
        <w:numPr>
          <w:ilvl w:val="0"/>
          <w:numId w:val="1002"/>
        </w:numPr>
        <w:pStyle w:val="Compact"/>
      </w:pPr>
      <w:r>
        <w:rPr>
          <w:bCs/>
          <w:b/>
        </w:rPr>
        <w:t xml:space="preserve">Niche Expertise:</w:t>
      </w:r>
      <w:r>
        <w:t xml:space="preserve"> </w:t>
      </w:r>
      <w:r>
        <w:t xml:space="preserve">Our team of chartered Environmental Engineers possesses deep familiarity with Greater Manchester’s specific geology (e.g., glacial deposits, clay soils), historical industrial contamination hotspots (e.g., former cotton mills, chemical plants), and local authority planning policies. This is a key differentiator over national firms lacking regional knowledge.</w:t>
      </w:r>
    </w:p>
    <w:p>
      <w:pPr>
        <w:numPr>
          <w:ilvl w:val="0"/>
          <w:numId w:val="1002"/>
        </w:numPr>
        <w:pStyle w:val="Compact"/>
      </w:pPr>
      <w:r>
        <w:rPr>
          <w:bCs/>
          <w:b/>
        </w:rPr>
        <w:t xml:space="preserve">Network Effect:</w:t>
      </w:r>
      <w:r>
        <w:t xml:space="preserve"> </w:t>
      </w:r>
      <w:r>
        <w:t xml:space="preserve">Strong relationships with the Environment Agency’s Manchester office, the Greater Manchester Combined Authority’s Sustainability Team, and leading engineering consultancies (e.g., Arup, Mott MacDonald) within the United Kingdom city-region accelerate client acquisition and project referral rates.</w:t>
      </w:r>
    </w:p>
    <w:p>
      <w:pPr>
        <w:numPr>
          <w:ilvl w:val="0"/>
          <w:numId w:val="1002"/>
        </w:numPr>
        <w:pStyle w:val="Compact"/>
      </w:pPr>
      <w:r>
        <w:rPr>
          <w:bCs/>
          <w:b/>
        </w:rPr>
        <w:t xml:space="preserve">Value Proposition:</w:t>
      </w:r>
      <w:r>
        <w:t xml:space="preserve"> </w:t>
      </w:r>
      <w:r>
        <w:t xml:space="preserve">We position Environmental Engineers not just as compliance officers but as strategic advisors. Our sales team emphasizes how our engineers deliver tangible ROI through avoided regulatory fines (e.g., water pollution incidents), optimized resource use for clients, and enhanced community relations during major development projects – directly addressing Manchester’s focus on inclusive growth.</w:t>
      </w:r>
    </w:p>
    <w:bookmarkEnd w:id="23"/>
    <w:bookmarkStart w:id="24" w:name="X9e270e7b6220a845c790a96113004856e8c084e"/>
    <w:p>
      <w:pPr>
        <w:pStyle w:val="Heading2"/>
      </w:pPr>
      <w:r>
        <w:t xml:space="preserve">V. Recommendations for Growth in the United Kingdom Manchester Market</w:t>
      </w:r>
    </w:p>
    <w:p>
      <w:pPr>
        <w:pStyle w:val="FirstParagraph"/>
      </w:pPr>
      <w:r>
        <w:t xml:space="preserve">To capitalize on this significant opportunity within the United Kingdom Manchester market, we recommend:</w:t>
      </w:r>
    </w:p>
    <w:p>
      <w:pPr>
        <w:numPr>
          <w:ilvl w:val="0"/>
          <w:numId w:val="1003"/>
        </w:numPr>
        <w:pStyle w:val="Compact"/>
      </w:pPr>
      <w:r>
        <w:rPr>
          <w:bCs/>
          <w:b/>
        </w:rPr>
        <w:t xml:space="preserve">Accelerate Local Talent Acquisition:</w:t>
      </w:r>
      <w:r>
        <w:t xml:space="preserve"> </w:t>
      </w:r>
      <w:r>
        <w:t xml:space="preserve">Prioritize recruiting and retaining Environmental Engineers with specific Greater Manchester project experience. Target graduates from the University of Manchester’s Energy, Environment &amp; Sustainability programs and engage with local professional bodies like the Institution of Environmental Sciences (IES) chapter.</w:t>
      </w:r>
    </w:p>
    <w:p>
      <w:pPr>
        <w:numPr>
          <w:ilvl w:val="0"/>
          <w:numId w:val="1003"/>
        </w:numPr>
        <w:pStyle w:val="Compact"/>
      </w:pPr>
      <w:r>
        <w:rPr>
          <w:bCs/>
          <w:b/>
        </w:rPr>
        <w:t xml:space="preserve">Develop Manchester-Specific Service Bundles:</w:t>
      </w:r>
      <w:r>
        <w:t xml:space="preserve"> </w:t>
      </w:r>
      <w:r>
        <w:t xml:space="preserve">Create tailored offerings like "Clean Air Zone Compliance Packages" or "Heritage Site Remediation for Greater Manchester," explicitly marketing to local authorities and developers facing these unique challenges. This directly addresses the high demand identified in our sales data.</w:t>
      </w:r>
    </w:p>
    <w:p>
      <w:pPr>
        <w:numPr>
          <w:ilvl w:val="0"/>
          <w:numId w:val="1003"/>
        </w:numPr>
        <w:pStyle w:val="Compact"/>
      </w:pPr>
      <w:r>
        <w:rPr>
          <w:bCs/>
          <w:b/>
        </w:rPr>
        <w:t xml:space="preserve">Strengthen City Council Partnerships:</w:t>
      </w:r>
      <w:r>
        <w:t xml:space="preserve"> </w:t>
      </w:r>
      <w:r>
        <w:t xml:space="preserve">Proactively engage with Manchester City Council’s Climate Action Team and Waste Strategy departments through targeted workshops on environmental engineering solutions for urban resilience, a key priority for the United Kingdom city-region.</w:t>
      </w:r>
    </w:p>
    <w:p>
      <w:pPr>
        <w:numPr>
          <w:ilvl w:val="0"/>
          <w:numId w:val="1003"/>
        </w:numPr>
        <w:pStyle w:val="Compact"/>
      </w:pPr>
      <w:r>
        <w:rPr>
          <w:bCs/>
          <w:b/>
        </w:rPr>
        <w:t xml:space="preserve">Leverage Data-Driven Sales Presentations:</w:t>
      </w:r>
      <w:r>
        <w:t xml:space="preserve"> </w:t>
      </w:r>
      <w:r>
        <w:t xml:space="preserve">Develop compelling case studies showcasing Environmental Engineer project successes within Manchester (e.g., "Reduced Site Contamination Risk by 65% at [Salford Industrial Site]"), emphasizing local relevance for potential clients.</w:t>
      </w:r>
    </w:p>
    <w:bookmarkEnd w:id="24"/>
    <w:bookmarkStart w:id="25" w:name="vi.-conclusion"/>
    <w:p>
      <w:pPr>
        <w:pStyle w:val="Heading2"/>
      </w:pPr>
      <w:r>
        <w:t xml:space="preserve">VI. Conclusion</w:t>
      </w:r>
    </w:p>
    <w:p>
      <w:pPr>
        <w:pStyle w:val="FirstParagraph"/>
      </w:pPr>
      <w:r>
        <w:t xml:space="preserve">The demand for skilled and locally experienced Environmental Engineers across the United Kingdom Manchester market is not merely strong—it is a structural imperative driven by national legislation, local environmental challenges, and ambitious urban development goals. Our Sales Report confirms that Environmental Engineer services are among our highest-value and fastest-growing product lines within this critical regional market. By embedding ourselves deeper within Manchester’s environmental governance ecosystem and doubling down on hyper-localized expertise, we can solidify our leadership position. Failure to adequately resource this specific service line risks ceding significant market share to competitors who better understand the unique demands of the United Kingdom Manchester landscape. The opportunity for sustainable revenue growth is clear; our strategic actions in Q4 2023 must directly translate this analysis into captured sales and expanded client relationships across Greater Manchester.</w:t>
      </w:r>
    </w:p>
    <w:p>
      <w:pPr>
        <w:pStyle w:val="BodyText"/>
      </w:pPr>
      <w:r>
        <w:rPr>
          <w:bCs/>
          <w:b/>
        </w:rPr>
        <w:t xml:space="preserve">Prepared By:</w:t>
      </w:r>
      <w:r>
        <w:t xml:space="preserve"> </w:t>
      </w:r>
      <w:r>
        <w:t xml:space="preserve">Strategic Sales &amp; Market Intelligence Team, UK Operations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Manchester Market Analysis | United Kingdom</dc:title>
  <dc:creator/>
  <dc:language>en</dc:language>
  <cp:keywords/>
  <dcterms:created xsi:type="dcterms:W3CDTF">2026-07-23T12:52:48Z</dcterms:created>
  <dcterms:modified xsi:type="dcterms:W3CDTF">2026-07-23T12:52:48Z</dcterms:modified>
</cp:coreProperties>
</file>

<file path=docProps/custom.xml><?xml version="1.0" encoding="utf-8"?>
<Properties xmlns="http://schemas.openxmlformats.org/officeDocument/2006/custom-properties" xmlns:vt="http://schemas.openxmlformats.org/officeDocument/2006/docPropsVTypes"/>
</file>