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Market</w:t>
      </w:r>
    </w:p>
    <w:bookmarkStart w:id="27" w:name="X86d3834befd5385bb827c596ec3980b86b9b3f9"/>
    <w:p>
      <w:pPr>
        <w:pStyle w:val="Heading1"/>
      </w:pPr>
      <w:r>
        <w:t xml:space="preserve">Environmental Engineering Services Sales Report: United States Los Angeles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Environmental Solutions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Environmental Engineering services within the United States Los Angeles metropolitan area for Q3 2023. The Los Angeles market continues to represent a critical growth corridor for our firm, driven by stringent state and local environmental regulations, climate resilience initiatives, and rapid infrastructure development. Our team of licensed</w:t>
      </w:r>
      <w:r>
        <w:t xml:space="preserve"> </w:t>
      </w:r>
      <w:r>
        <w:rPr>
          <w:iCs/>
          <w:i/>
        </w:rPr>
        <w:t xml:space="preserve">Environmental Engineers</w:t>
      </w:r>
      <w:r>
        <w:t xml:space="preserve"> </w:t>
      </w:r>
      <w:r>
        <w:t xml:space="preserve">secured $4.8M in new service contracts during the quarter, exceeding our Q3 target by 17% (Q2: $4.09M). This success underscores the increasing demand for specialized environmental compliance and sustainability solutions across Southern California's complex regulatory landscape. Key drivers include LA County's Climate Action Plan, statewide SB 100 mandates, and urgent water infrastructure modernization needs.</w:t>
      </w:r>
    </w:p>
    <w:bookmarkEnd w:id="20"/>
    <w:bookmarkStart w:id="21" w:name="X065795b3ab70d1fb5a23fa6a12ba72654f43b35"/>
    <w:p>
      <w:pPr>
        <w:pStyle w:val="Heading2"/>
      </w:pPr>
      <w:r>
        <w:t xml:space="preserve">II. Los Angeles Market Context: Regulatory Drivers Fueling Demand</w:t>
      </w:r>
    </w:p>
    <w:p>
      <w:pPr>
        <w:pStyle w:val="FirstParagraph"/>
      </w:pPr>
      <w:r>
        <w:t xml:space="preserve">The United States Los Angeles environment presents a unique confluence of challenges demanding expert environmental engineering solutions. California's aggressive environmental policies – including the Global Warming Solutions Act (AB 32), SB 100 (100% clean energy by 2045), and the Sustainable Groundwater Management Act (SGMA) – create a high-stakes compliance environment for all major development projects. The City of Los Angeles' own</w:t>
      </w:r>
      <w:r>
        <w:t xml:space="preserve"> </w:t>
      </w:r>
      <w:r>
        <w:rPr>
          <w:iCs/>
          <w:i/>
        </w:rPr>
        <w:t xml:space="preserve">Green New Deal</w:t>
      </w:r>
      <w:r>
        <w:t xml:space="preserve"> </w:t>
      </w:r>
      <w:r>
        <w:t xml:space="preserve">and</w:t>
      </w:r>
      <w:r>
        <w:t xml:space="preserve"> </w:t>
      </w:r>
      <w:r>
        <w:rPr>
          <w:iCs/>
          <w:i/>
        </w:rPr>
        <w:t xml:space="preserve">L.A. River Master Plan</w:t>
      </w:r>
      <w:r>
        <w:t xml:space="preserve"> </w:t>
      </w:r>
      <w:r>
        <w:t xml:space="preserve">have further intensified demand for Environmental Engineers specializing in:</w:t>
      </w:r>
    </w:p>
    <w:p>
      <w:pPr>
        <w:numPr>
          <w:ilvl w:val="0"/>
          <w:numId w:val="1001"/>
        </w:numPr>
        <w:pStyle w:val="Compact"/>
      </w:pPr>
      <w:r>
        <w:rPr>
          <w:bCs/>
          <w:b/>
        </w:rPr>
        <w:t xml:space="preserve">Stormwater Management &amp; Water Quality Compliance:</w:t>
      </w:r>
      <w:r>
        <w:t xml:space="preserve"> </w:t>
      </w:r>
      <w:r>
        <w:t xml:space="preserve">Required for all new developments under LA's Municipal Separate Storm Sewer System (MS4) permit, driving consistent work on bio-retention systems and infiltration basins.</w:t>
      </w:r>
    </w:p>
    <w:p>
      <w:pPr>
        <w:numPr>
          <w:ilvl w:val="0"/>
          <w:numId w:val="1001"/>
        </w:numPr>
        <w:pStyle w:val="Compact"/>
      </w:pPr>
      <w:r>
        <w:rPr>
          <w:bCs/>
          <w:b/>
        </w:rPr>
        <w:t xml:space="preserve">Climate Resilience Planning:</w:t>
      </w:r>
      <w:r>
        <w:t xml:space="preserve"> </w:t>
      </w:r>
      <w:r>
        <w:t xml:space="preserve">Mandatory assessments for infrastructure vulnerability to sea-level rise (critical along the LA Coast) and extreme heat events.</w:t>
      </w:r>
    </w:p>
    <w:p>
      <w:pPr>
        <w:numPr>
          <w:ilvl w:val="0"/>
          <w:numId w:val="1001"/>
        </w:numPr>
        <w:pStyle w:val="Compact"/>
      </w:pPr>
      <w:r>
        <w:rPr>
          <w:bCs/>
          <w:b/>
        </w:rPr>
        <w:t xml:space="preserve">Sustainability Certification Support:</w:t>
      </w:r>
      <w:r>
        <w:t xml:space="preserve"> </w:t>
      </w:r>
      <w:r>
        <w:t xml:space="preserve">High demand for LEED, WELL, and TRUE Zero Waste certification guidance from developers targeting major projects (e.g., Downtown LA redevelopments, San Fernando Valley transit hubs).</w:t>
      </w:r>
    </w:p>
    <w:p>
      <w:pPr>
        <w:numPr>
          <w:ilvl w:val="0"/>
          <w:numId w:val="1001"/>
        </w:numPr>
        <w:pStyle w:val="Compact"/>
      </w:pPr>
      <w:r>
        <w:rPr>
          <w:bCs/>
          <w:b/>
        </w:rPr>
        <w:t xml:space="preserve">Soil &amp; Groundwater Remediation:</w:t>
      </w:r>
      <w:r>
        <w:t xml:space="preserve"> </w:t>
      </w:r>
      <w:r>
        <w:t xml:space="preserve">Ongoing challenges at legacy industrial sites (e.g., former oil fields in South Central LA) and brownfield redevelopment.</w:t>
      </w:r>
    </w:p>
    <w:bookmarkEnd w:id="21"/>
    <w:bookmarkStart w:id="22" w:name="Xbe70d32d60c0c3b16db201f72e3d8bbd308280b"/>
    <w:p>
      <w:pPr>
        <w:pStyle w:val="Heading2"/>
      </w:pPr>
      <w:r>
        <w:t xml:space="preserve">III. Sales Performance by Service Category: Los Angeles Focus</w:t>
      </w:r>
    </w:p>
    <w:p>
      <w:pPr>
        <w:pStyle w:val="FirstParagraph"/>
      </w:pPr>
      <w:r>
        <w:t xml:space="preserve">The Q3 sales pipeline was heavily weighted toward projects directly impacting the Los Angeles ecosystem: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Contract Value (USD)</w:t>
            </w:r>
          </w:p>
        </w:tc>
        <w:tc>
          <w:tcPr/>
          <w:p>
            <w:pPr>
              <w:pStyle w:val="Compact"/>
              <w:jc w:val="left"/>
            </w:pPr>
            <w:r>
              <w:t xml:space="preserve">% of Total LA Sales</w:t>
            </w:r>
          </w:p>
        </w:tc>
        <w:tc>
          <w:tcPr/>
          <w:p>
            <w:pPr>
              <w:pStyle w:val="Compact"/>
              <w:jc w:val="left"/>
            </w:pPr>
            <w:r>
              <w:t xml:space="preserve">Key Los Angeles Projects</w:t>
            </w:r>
          </w:p>
        </w:tc>
      </w:tr>
      <w:tr>
        <w:tc>
          <w:tcPr/>
          <w:p>
            <w:pPr>
              <w:pStyle w:val="Compact"/>
              <w:jc w:val="left"/>
            </w:pPr>
            <w:r>
              <w:t xml:space="preserve">Regulatory Compliance Planning (CEQA, NPDES, SGMA)</w:t>
            </w:r>
          </w:p>
        </w:tc>
        <w:tc>
          <w:tcPr/>
          <w:p>
            <w:pPr>
              <w:pStyle w:val="Compact"/>
              <w:jc w:val="left"/>
            </w:pPr>
            <w:r>
              <w:t xml:space="preserve">$1.95M</w:t>
            </w:r>
          </w:p>
        </w:tc>
        <w:tc>
          <w:tcPr/>
          <w:p>
            <w:pPr>
              <w:pStyle w:val="Compact"/>
              <w:jc w:val="left"/>
            </w:pPr>
            <w:r>
              <w:t xml:space="preserve">40.6%</w:t>
            </w:r>
          </w:p>
        </w:tc>
        <w:tc>
          <w:tcPr/>
          <w:p>
            <w:pPr>
              <w:pStyle w:val="Compact"/>
              <w:jc w:val="left"/>
            </w:pPr>
            <w:r>
              <w:t xml:space="preserve">Downtown LA Transit Hub Expansion (City of LA); Sepulveda Basin Stormwater Master Plan</w:t>
            </w:r>
          </w:p>
        </w:tc>
      </w:tr>
      <w:tr>
        <w:tc>
          <w:tcPr/>
          <w:p>
            <w:pPr>
              <w:pStyle w:val="Compact"/>
              <w:jc w:val="left"/>
            </w:pPr>
            <w:r>
              <w:t xml:space="preserve">Climate Adaptation &amp; Resilience Studies</w:t>
            </w:r>
          </w:p>
        </w:tc>
        <w:tc>
          <w:tcPr/>
          <w:p>
            <w:pPr>
              <w:pStyle w:val="Compact"/>
              <w:jc w:val="left"/>
            </w:pPr>
            <w:r>
              <w:t xml:space="preserve">$1.72M</w:t>
            </w:r>
          </w:p>
        </w:tc>
        <w:tc>
          <w:tcPr/>
          <w:p>
            <w:pPr>
              <w:pStyle w:val="Compact"/>
              <w:jc w:val="left"/>
            </w:pPr>
            <w:r>
              <w:t xml:space="preserve">% of Total LA Sales</w:t>
            </w:r>
          </w:p>
        </w:tc>
        <w:tc>
          <w:tcPr/>
          <w:p>
            <w:pPr>
              <w:pStyle w:val="Compact"/>
              <w:jc w:val="left"/>
            </w:pPr>
            <w:r>
              <w:t xml:space="preserve">Key Los Angeles Projects</w:t>
            </w:r>
          </w:p>
        </w:tc>
      </w:tr>
    </w:tbl>
    <w:p>
      <w:pPr>
        <w:pStyle w:val="BodyText"/>
      </w:pPr>
      <w:r>
        <w:rPr>
          <w:iCs/>
          <w:i/>
        </w:rPr>
        <w:t xml:space="preserve">Environmental Engineers</w:t>
      </w:r>
      <w:r>
        <w:t xml:space="preserve"> </w:t>
      </w:r>
      <w:r>
        <w:t xml:space="preserve">in the Los Angeles office directly contributed to 85% of these contracts through on-site consultations, technical report authorship, and regulatory agency negotiations. The largest single sale ($1.2M) was a multi-year contract with the Los Angeles Department of Water and Power (LADWP) for comprehensive stormwater management system upgrades at the LA River restoration sites – a project vital to meeting both federal Clean Water Act requirements and LA's sustainability goals.</w:t>
      </w:r>
    </w:p>
    <w:bookmarkEnd w:id="22"/>
    <w:bookmarkStart w:id="23" w:name="Xa30f99df7ba9cd4e0cf51b00759f465d2fb823d"/>
    <w:p>
      <w:pPr>
        <w:pStyle w:val="Heading2"/>
      </w:pPr>
      <w:r>
        <w:t xml:space="preserve">IV. Key Client Acquisition &amp; Retention in Los Angeles</w:t>
      </w:r>
    </w:p>
    <w:p>
      <w:pPr>
        <w:pStyle w:val="FirstParagraph"/>
      </w:pPr>
      <w:r>
        <w:t xml:space="preserve">Success in the United States Los Angeles market hinges on deep local knowledge and relationship-building:</w:t>
      </w:r>
    </w:p>
    <w:p>
      <w:pPr>
        <w:numPr>
          <w:ilvl w:val="0"/>
          <w:numId w:val="1002"/>
        </w:numPr>
        <w:pStyle w:val="Compact"/>
      </w:pPr>
      <w:r>
        <w:rPr>
          <w:bCs/>
          <w:b/>
        </w:rPr>
        <w:t xml:space="preserve">New Client Wins:</w:t>
      </w:r>
      <w:r>
        <w:t xml:space="preserve"> </w:t>
      </w:r>
      <w:r>
        <w:t xml:space="preserve">Secured contracts with three major LA County developers (including a $750K project for a 500-unit mixed-use development in the San Gabriel Valley requiring full CEQA compliance and sustainable water systems).</w:t>
      </w:r>
    </w:p>
    <w:p>
      <w:pPr>
        <w:numPr>
          <w:ilvl w:val="0"/>
          <w:numId w:val="1002"/>
        </w:numPr>
        <w:pStyle w:val="Compact"/>
      </w:pPr>
      <w:r>
        <w:rPr>
          <w:bCs/>
          <w:b/>
        </w:rPr>
        <w:t xml:space="preserve">Client Retention:</w:t>
      </w:r>
      <w:r>
        <w:t xml:space="preserve"> </w:t>
      </w:r>
      <w:r>
        <w:t xml:space="preserve">Maintained 92% retention rate among existing LA municipal clients, including the Los Angeles Unified School District (LAUSD) for their school site remediation program.</w:t>
      </w:r>
    </w:p>
    <w:p>
      <w:pPr>
        <w:numPr>
          <w:ilvl w:val="0"/>
          <w:numId w:val="1002"/>
        </w:numPr>
        <w:pStyle w:val="Compact"/>
      </w:pPr>
      <w:r>
        <w:rPr>
          <w:bCs/>
          <w:b/>
        </w:rPr>
        <w:t xml:space="preserve">Strategic Partnerships:</w:t>
      </w:r>
      <w:r>
        <w:t xml:space="preserve"> </w:t>
      </w:r>
      <w:r>
        <w:t xml:space="preserve">Forged a new alliance with a prominent LA-based civil engineering firm, enabling cross-selling of environmental services for major infrastructure projects like the Metro Regional Connector expansion.</w:t>
      </w:r>
    </w:p>
    <w:bookmarkEnd w:id="23"/>
    <w:bookmarkStart w:id="24" w:name="X125aa57983f7c927e8482c8167345b60a0e430d"/>
    <w:p>
      <w:pPr>
        <w:pStyle w:val="Heading2"/>
      </w:pPr>
      <w:r>
        <w:t xml:space="preserve">V. Competitive Landscape &amp; Differentiation in Los Angeles</w:t>
      </w:r>
    </w:p>
    <w:p>
      <w:pPr>
        <w:pStyle w:val="FirstParagraph"/>
      </w:pPr>
      <w:r>
        <w:t xml:space="preserve">The Southern California Environmental Engineering market is highly competitive. Our differentiation in the United States Los Angeles context stems from:</w:t>
      </w:r>
    </w:p>
    <w:p>
      <w:pPr>
        <w:numPr>
          <w:ilvl w:val="0"/>
          <w:numId w:val="1003"/>
        </w:numPr>
        <w:pStyle w:val="Compact"/>
      </w:pPr>
      <w:r>
        <w:rPr>
          <w:bCs/>
          <w:b/>
        </w:rPr>
        <w:t xml:space="preserve">Hyper-Local Expertise:</w:t>
      </w:r>
      <w:r>
        <w:t xml:space="preserve"> </w:t>
      </w:r>
      <w:r>
        <w:t xml:space="preserve">Deep understanding of LA County-specific regulations (e.g., LADOT traffic impact analysis requirements for environmental reports) and hydrology (e.g., seasonal flood patterns in the San Gabriel River basin).</w:t>
      </w:r>
    </w:p>
    <w:p>
      <w:pPr>
        <w:numPr>
          <w:ilvl w:val="0"/>
          <w:numId w:val="1003"/>
        </w:numPr>
        <w:pStyle w:val="Compact"/>
      </w:pPr>
      <w:r>
        <w:rPr>
          <w:bCs/>
          <w:b/>
        </w:rPr>
        <w:t xml:space="preserve">Technical Depth:</w:t>
      </w:r>
      <w:r>
        <w:t xml:space="preserve"> </w:t>
      </w:r>
      <w:r>
        <w:t xml:space="preserve">Advanced capabilities in GIS mapping and climate modeling specific to the Los Angeles Basin, crucial for accurate vulnerability assessments.</w:t>
      </w:r>
    </w:p>
    <w:p>
      <w:pPr>
        <w:numPr>
          <w:ilvl w:val="0"/>
          <w:numId w:val="1003"/>
        </w:numPr>
        <w:pStyle w:val="Compact"/>
      </w:pPr>
      <w:r>
        <w:rPr>
          <w:bCs/>
          <w:b/>
        </w:rPr>
        <w:t xml:space="preserve">Trusted Relationships:</w:t>
      </w:r>
      <w:r>
        <w:t xml:space="preserve"> </w:t>
      </w:r>
      <w:r>
        <w:t xml:space="preserve">Strong rapport with key decision-makers at LA City Planning, the Regional Water Quality Control Board (Region 4), and major public works departments – established over 7+ years of consistent service delivery in Los Angeles.</w:t>
      </w:r>
    </w:p>
    <w:bookmarkEnd w:id="24"/>
    <w:bookmarkStart w:id="25" w:name="X9524faf30e431bcdf649b0c05f72fb1b58c8805"/>
    <w:p>
      <w:pPr>
        <w:pStyle w:val="Heading2"/>
      </w:pPr>
      <w:r>
        <w:t xml:space="preserve">VI. Challenges &amp; Future Outlook for Environmental Engineering Sales in Los Angeles</w:t>
      </w:r>
    </w:p>
    <w:p>
      <w:pPr>
        <w:pStyle w:val="FirstParagraph"/>
      </w:pPr>
      <w:r>
        <w:t xml:space="preserve">While Q3 was strong, challenges persist:</w:t>
      </w:r>
    </w:p>
    <w:p>
      <w:pPr>
        <w:numPr>
          <w:ilvl w:val="0"/>
          <w:numId w:val="1004"/>
        </w:numPr>
        <w:pStyle w:val="Compact"/>
      </w:pPr>
      <w:r>
        <w:rPr>
          <w:bCs/>
          <w:b/>
        </w:rPr>
        <w:t xml:space="preserve">Regulatory Complexity:</w:t>
      </w:r>
      <w:r>
        <w:t xml:space="preserve"> </w:t>
      </w:r>
      <w:r>
        <w:t xml:space="preserve">The evolving nature of California's climate regulations (e.g., new SB 535 requirements for water agencies) demands continuous training for our Los Angeles Environmental Engineers.</w:t>
      </w:r>
    </w:p>
    <w:p>
      <w:pPr>
        <w:numPr>
          <w:ilvl w:val="0"/>
          <w:numId w:val="1004"/>
        </w:numPr>
        <w:pStyle w:val="Compact"/>
      </w:pPr>
      <w:r>
        <w:rPr>
          <w:bCs/>
          <w:b/>
        </w:rPr>
        <w:t xml:space="preserve">Resource Constraints:</w:t>
      </w:r>
      <w:r>
        <w:t xml:space="preserve"> </w:t>
      </w:r>
      <w:r>
        <w:t xml:space="preserve">High demand outstrips local engineering talent availability; we are actively recruiting and partnering with USC and UCLA environmental programs to build our LA talent pipeline.</w:t>
      </w:r>
    </w:p>
    <w:p>
      <w:pPr>
        <w:pStyle w:val="FirstParagraph"/>
      </w:pPr>
      <w:r>
        <w:t xml:space="preserve">The outlook for the United States Los Angeles market remains exceptionally strong. Governor Newsom's 2023 Statewide Climate Strategy prioritizes Southern California, driving significant public funding for environmental infrastructure. We project a 25% YoY increase in Environmental Engineering service sales within Los Angeles over the next year, particularly in water security (drought resilience) and community-scale renewable energy integration projects. Continued investment in our LA office's technical capabilities and local partnerships is paramount to capturing this growth.</w:t>
      </w:r>
    </w:p>
    <w:bookmarkEnd w:id="25"/>
    <w:bookmarkStart w:id="26" w:name="vii.-conclusion"/>
    <w:p>
      <w:pPr>
        <w:pStyle w:val="Heading2"/>
      </w:pPr>
      <w:r>
        <w:t xml:space="preserve">VII. Conclusion</w:t>
      </w:r>
    </w:p>
    <w:p>
      <w:pPr>
        <w:pStyle w:val="FirstParagraph"/>
      </w:pPr>
      <w:r>
        <w:t xml:space="preserve">The Q3 performance of our Environmental Engineering services sales team in Los Angeles demonstrates a robust market position within the United States context. Demand is not merely strong; it is mission-critical for city agencies, developers, and community stakeholders navigating the complex environmental challenges of one of America's most populous and dynamic urban centers. Our success hinges on delivering unparalleled local expertise – precisely what our</w:t>
      </w:r>
      <w:r>
        <w:t xml:space="preserve"> </w:t>
      </w:r>
      <w:r>
        <w:rPr>
          <w:iCs/>
          <w:i/>
        </w:rPr>
        <w:t xml:space="preserve">Environmental Engineers</w:t>
      </w:r>
      <w:r>
        <w:t xml:space="preserve"> </w:t>
      </w:r>
      <w:r>
        <w:t xml:space="preserve">provide every day in Los Angeles. As climate action accelerates across California, the role of the Environmental Engineer in securing sustainable development for Los Angeles has never been more vital to both client success and community well-being. We are strategically positioned to lead this essential market growth.</w:t>
      </w:r>
    </w:p>
    <w:p>
      <w:pPr>
        <w:pStyle w:val="BodyText"/>
      </w:pPr>
      <w:r>
        <w:rPr>
          <w:bCs/>
          <w:b/>
        </w:rPr>
        <w:t xml:space="preserve">Prepared By:</w:t>
      </w:r>
      <w:r>
        <w:t xml:space="preserve"> </w:t>
      </w:r>
      <w:r>
        <w:t xml:space="preserve">Maria Chen, Director of Sales &amp; Business Development – Western Region</w:t>
      </w:r>
      <w:r>
        <w:br/>
      </w:r>
      <w:r>
        <w:rPr>
          <w:bCs/>
          <w:b/>
        </w:rPr>
        <w:t xml:space="preserve">Contact:</w:t>
      </w:r>
      <w:r>
        <w:t xml:space="preserve"> </w:t>
      </w:r>
      <w:r>
        <w:t xml:space="preserve">m.chen@nesg.com | (213)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Los Angeles Market</dc:title>
  <dc:creator/>
  <dc:language>en</dc:language>
  <cp:keywords/>
  <dcterms:created xsi:type="dcterms:W3CDTF">2026-07-21T09:12:23Z</dcterms:created>
  <dcterms:modified xsi:type="dcterms:W3CDTF">2026-07-21T09:12:23Z</dcterms:modified>
</cp:coreProperties>
</file>

<file path=docProps/custom.xml><?xml version="1.0" encoding="utf-8"?>
<Properties xmlns="http://schemas.openxmlformats.org/officeDocument/2006/custom-properties" xmlns:vt="http://schemas.openxmlformats.org/officeDocument/2006/docPropsVTypes"/>
</file>