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7" w:name="Xfa1617bee0d3e536b602946682a059cdf5e075e"/>
    <w:p>
      <w:pPr>
        <w:pStyle w:val="Heading1"/>
      </w:pPr>
      <w:r>
        <w:t xml:space="preserve">Q3 2024 Sales Report: Environmental Engineering Services in Ho Chi Minh City, Vietnam</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July 1 – September 30, 2024</w:t>
      </w:r>
    </w:p>
    <w:bookmarkStart w:id="20" w:name="i.-executive-summary"/>
    <w:p>
      <w:pPr>
        <w:pStyle w:val="Heading2"/>
      </w:pPr>
      <w:r>
        <w:t xml:space="preserve">I. Executive Summary</w:t>
      </w:r>
    </w:p>
    <w:p>
      <w:pPr>
        <w:pStyle w:val="FirstParagraph"/>
      </w:pPr>
      <w:r>
        <w:t xml:space="preserve">This Sales Report details the performance of Environmental Engineering services in Ho Chi Minh City (HCMC), Vietnam, during Q3 2024. The market has demonstrated robust growth driven by stringent regulatory compliance demands, urbanization pressures, and corporate sustainability commitments. Total sales revenue for Environmental Engineering solutions reached VND 148 billion (approx. USD $6.2 million), representing a 37% year-over-year increase in HCMC alone. This growth underscores the critical role of the</w:t>
      </w:r>
      <w:r>
        <w:t xml:space="preserve"> </w:t>
      </w:r>
      <w:r>
        <w:rPr>
          <w:iCs/>
          <w:i/>
        </w:rPr>
        <w:t xml:space="preserve">Environmental Engineer</w:t>
      </w:r>
      <w:r>
        <w:t xml:space="preserve"> </w:t>
      </w:r>
      <w:r>
        <w:t xml:space="preserve">as a strategic asset for businesses operating across Vietnam’s most dynamic economic hub, Ho Chi Minh City.</w:t>
      </w:r>
    </w:p>
    <w:bookmarkEnd w:id="20"/>
    <w:bookmarkStart w:id="21" w:name="X97a0ab5415c8e869becec68d649bb79e5ba678b"/>
    <w:p>
      <w:pPr>
        <w:pStyle w:val="Heading2"/>
      </w:pPr>
      <w:r>
        <w:t xml:space="preserve">II. Market Analysis: Environmental Engineering Demand in HCMC</w:t>
      </w:r>
    </w:p>
    <w:p>
      <w:pPr>
        <w:pStyle w:val="FirstParagraph"/>
      </w:pPr>
      <w:r>
        <w:t xml:space="preserve">HCMC’s rapid urbanization—home to over 9 million residents and 50,000+ industrial facilities—has intensified environmental challenges. Air pollution levels (PM2.5) exceed WHO guidelines by 4x during peak seasons, while wastewater treatment capacity lags behind industrial output. The Ministry of Natural Resources and Environment (MONRE) recently enforced stricter emissions standards under Vietnam’s National Target Program on Climate Change (2021-2030), directly driving demand for certified</w:t>
      </w:r>
      <w:r>
        <w:t xml:space="preserve"> </w:t>
      </w:r>
      <w:r>
        <w:rPr>
          <w:iCs/>
          <w:i/>
        </w:rPr>
        <w:t xml:space="preserve">Environmental Engineer</w:t>
      </w:r>
      <w:r>
        <w:t xml:space="preserve"> </w:t>
      </w:r>
      <w:r>
        <w:t xml:space="preserve">expertise. Key sectors generating sales opportunities include:</w:t>
      </w:r>
    </w:p>
    <w:p>
      <w:pPr>
        <w:numPr>
          <w:ilvl w:val="0"/>
          <w:numId w:val="1001"/>
        </w:numPr>
        <w:pStyle w:val="Compact"/>
      </w:pPr>
      <w:r>
        <w:rPr>
          <w:bCs/>
          <w:b/>
        </w:rPr>
        <w:t xml:space="preserve">Manufacturing &amp; Export Processing Zones:</w:t>
      </w:r>
      <w:r>
        <w:t xml:space="preserve"> </w:t>
      </w:r>
      <w:r>
        <w:t xml:space="preserve">48% of new contracts (e.g., Samsung, LG factories requiring emissions monitoring systems).</w:t>
      </w:r>
    </w:p>
    <w:p>
      <w:pPr>
        <w:numPr>
          <w:ilvl w:val="0"/>
          <w:numId w:val="1001"/>
        </w:numPr>
        <w:pStyle w:val="Compact"/>
      </w:pPr>
      <w:r>
        <w:rPr>
          <w:bCs/>
          <w:b/>
        </w:rPr>
        <w:t xml:space="preserve">Retail &amp; Real Estate Development:</w:t>
      </w:r>
      <w:r>
        <w:t xml:space="preserve"> </w:t>
      </w:r>
      <w:r>
        <w:t xml:space="preserve">32% of projects (e.g., Saigon Centre, Vinhomes Grand Park) mandating LEED/EDGE certification with Environmental Engineer oversight.</w:t>
      </w:r>
    </w:p>
    <w:p>
      <w:pPr>
        <w:numPr>
          <w:ilvl w:val="0"/>
          <w:numId w:val="1001"/>
        </w:numPr>
        <w:pStyle w:val="Compact"/>
      </w:pPr>
      <w:r>
        <w:rPr>
          <w:bCs/>
          <w:b/>
        </w:rPr>
        <w:t xml:space="preserve">Municipal &amp; Infrastructure Projects:</w:t>
      </w:r>
      <w:r>
        <w:t xml:space="preserve"> </w:t>
      </w:r>
      <w:r>
        <w:t xml:space="preserve">20% from HCMC City People's Committee contracts for river cleanup (Saigon River) and waste-to-energy plants.</w:t>
      </w:r>
    </w:p>
    <w:bookmarkEnd w:id="21"/>
    <w:bookmarkStart w:id="22" w:name="X45abe1d4f76faccccfe575fec7043b4bb1b55f9"/>
    <w:p>
      <w:pPr>
        <w:pStyle w:val="Heading2"/>
      </w:pPr>
      <w:r>
        <w:t xml:space="preserve">III. Sales Performance: Service Offerings by Environmental Engineer Specialization</w:t>
      </w:r>
    </w:p>
    <w:p>
      <w:pPr>
        <w:pStyle w:val="FirstParagraph"/>
      </w:pPr>
      <w:r>
        <w:t xml:space="preserve">The sales team successfully positioned specialized</w:t>
      </w:r>
      <w:r>
        <w:t xml:space="preserve"> </w:t>
      </w:r>
      <w:r>
        <w:rPr>
          <w:iCs/>
          <w:i/>
        </w:rPr>
        <w:t xml:space="preserve">Environmental Engineer</w:t>
      </w:r>
      <w:r>
        <w:t xml:space="preserve"> </w:t>
      </w:r>
      <w:r>
        <w:t xml:space="preserve">services to address HCMC-specific pain points. Key service categories and their contribution to Q3 revenue:</w:t>
      </w:r>
    </w:p>
    <w:p>
      <w:pPr>
        <w:pStyle w:val="BodyText"/>
      </w:pPr>
      <w:r>
        <w:t xml:space="preserve">Service Category</w:t>
      </w:r>
    </w:p>
    <w:p>
      <w:pPr>
        <w:pStyle w:val="BodyText"/>
      </w:pPr>
      <w:r>
        <w:t xml:space="preserve">Description</w:t>
      </w:r>
    </w:p>
    <w:p>
      <w:pPr>
        <w:pStyle w:val="BodyText"/>
      </w:pPr>
      <w:r>
        <w:t xml:space="preserve">Q3 Revenue (VND)</w:t>
      </w:r>
    </w:p>
    <w:p>
      <w:pPr>
        <w:pStyle w:val="BodyText"/>
      </w:pPr>
      <w:r>
        <w:t xml:space="preserve">% of Total HCMC Sales</w:t>
      </w:r>
    </w:p>
    <w:p>
      <w:pPr>
        <w:pStyle w:val="BodyText"/>
      </w:pPr>
      <w:r>
        <w:t xml:space="preserve">Industrial Emissions Monitoring Systems</w:t>
      </w:r>
    </w:p>
    <w:p>
      <w:pPr>
        <w:pStyle w:val="BodyText"/>
      </w:pPr>
      <w:r>
        <w:t xml:space="preserve">Real-time air/water quality sensors for factories; compliance reporting.</w:t>
      </w:r>
    </w:p>
    <w:p>
      <w:pPr>
        <w:pStyle w:val="BodyText"/>
      </w:pPr>
      <w:r>
        <w:t xml:space="preserve">58.2 billion</w:t>
      </w:r>
    </w:p>
    <w:p>
      <w:pPr>
        <w:pStyle w:val="BodyText"/>
      </w:pPr>
      <w:r>
        <w:t xml:space="preserve">39.3%</w:t>
      </w:r>
    </w:p>
    <w:p>
      <w:pPr>
        <w:pStyle w:val="BodyText"/>
      </w:pPr>
      <w:r>
        <w:t xml:space="preserve">Sustainable Construction Consulting</w:t>
      </w:r>
    </w:p>
    <w:p>
      <w:pPr>
        <w:pStyle w:val="BodyText"/>
      </w:pPr>
      <w:r>
        <w:t xml:space="preserve">Green building design, stormwater management for HCMC’s flood-prone zones.</w:t>
      </w:r>
    </w:p>
    <w:p>
      <w:pPr>
        <w:pStyle w:val="BodyText"/>
      </w:pPr>
    </w:p>
    <w:p>
      <w:pPr>
        <w:pStyle w:val="BodyText"/>
      </w:pPr>
      <w:r>
        <w:t xml:space="preserve">37.1 billion</w:t>
      </w:r>
    </w:p>
    <w:p>
      <w:pPr>
        <w:pStyle w:val="BodyText"/>
      </w:pPr>
      <w:r>
        <w:t xml:space="preserve">Waste Management Optimization</w:t>
      </w:r>
    </w:p>
    <w:p>
      <w:pPr>
        <w:pStyle w:val="BodyText"/>
      </w:pPr>
      <w:r>
        <w:t xml:space="preserve">Plastic waste reduction strategies; biogas plant feasibility for industrial parks.</w:t>
      </w:r>
    </w:p>
    <w:p>
      <w:pPr>
        <w:pStyle w:val="BodyText"/>
      </w:pPr>
      <w:r>
        <w:t xml:space="preserve">32.5 billion</w:t>
      </w:r>
    </w:p>
    <w:p>
      <w:pPr>
        <w:pStyle w:val="BodyText"/>
      </w:pPr>
      <w:r>
        <w:t xml:space="preserve">21.9%</w:t>
      </w:r>
    </w:p>
    <w:p>
      <w:pPr>
        <w:pStyle w:val="BodyText"/>
      </w:pPr>
      <w:r>
        <w:t xml:space="preserve">Total</w:t>
      </w:r>
    </w:p>
    <w:p>
      <w:pPr>
        <w:pStyle w:val="BodyText"/>
      </w:pPr>
      <w:r>
        <w:rPr>
          <w:bCs/>
          <w:b/>
        </w:rPr>
        <w:t xml:space="preserve">148.0 billion</w:t>
      </w:r>
    </w:p>
    <w:p>
      <w:pPr>
        <w:pStyle w:val="BodyText"/>
      </w:pPr>
      <w:r>
        <w:rPr>
          <w:bCs/>
          <w:b/>
        </w:rPr>
        <w:t xml:space="preserve">100%</w:t>
      </w:r>
    </w:p>
    <w:bookmarkEnd w:id="22"/>
    <w:bookmarkStart w:id="23" w:name="X9b543e0e4162da08651350bcdd472045f67a1ee"/>
    <w:p>
      <w:pPr>
        <w:pStyle w:val="Heading2"/>
      </w:pPr>
      <w:r>
        <w:t xml:space="preserve">IV. Key Sales Achievements in Ho Chi Minh City</w:t>
      </w:r>
    </w:p>
    <w:p>
      <w:pPr>
        <w:pStyle w:val="FirstParagraph"/>
      </w:pPr>
      <w:r>
        <w:t xml:space="preserve">The Q3 sales momentum was fueled by three strategic initiatives tailored to Vietnam’s HCMC market:</w:t>
      </w:r>
    </w:p>
    <w:p>
      <w:pPr>
        <w:numPr>
          <w:ilvl w:val="0"/>
          <w:numId w:val="1002"/>
        </w:numPr>
        <w:pStyle w:val="Compact"/>
      </w:pPr>
      <w:r>
        <w:rPr>
          <w:bCs/>
          <w:b/>
        </w:rPr>
        <w:t xml:space="preserve">MONRE Compliance Partnerships:</w:t>
      </w:r>
      <w:r>
        <w:t xml:space="preserve"> </w:t>
      </w:r>
      <w:r>
        <w:t xml:space="preserve">Secured 14 contracts with medium-sized manufacturers (e.g., textile, food processing) through joint workshops organized with the HCMC Department of Natural Resources and Environment. These agreements mandate Environmental Engineer audits every 6 months.</w:t>
      </w:r>
    </w:p>
    <w:p>
      <w:pPr>
        <w:numPr>
          <w:ilvl w:val="0"/>
          <w:numId w:val="1002"/>
        </w:numPr>
        <w:pStyle w:val="Compact"/>
      </w:pPr>
      <w:r>
        <w:rPr>
          <w:bCs/>
          <w:b/>
        </w:rPr>
        <w:t xml:space="preserve">Talent-Driven Service Delivery:</w:t>
      </w:r>
      <w:r>
        <w:t xml:space="preserve"> </w:t>
      </w:r>
      <w:r>
        <w:t xml:space="preserve">Deployed 27 certified</w:t>
      </w:r>
      <w:r>
        <w:t xml:space="preserve"> </w:t>
      </w:r>
      <w:r>
        <w:rPr>
          <w:iCs/>
          <w:i/>
        </w:rPr>
        <w:t xml:space="preserve">Environmental Engineers</w:t>
      </w:r>
      <w:r>
        <w:t xml:space="preserve"> </w:t>
      </w:r>
      <w:r>
        <w:t xml:space="preserve">with local expertise (licensed under Vietnam’s Ministry of Construction). This reduced on-site implementation time by 30% compared to previous projects, directly enhancing client retention (92% renewal rate).</w:t>
      </w:r>
    </w:p>
    <w:p>
      <w:pPr>
        <w:numPr>
          <w:ilvl w:val="0"/>
          <w:numId w:val="1002"/>
        </w:numPr>
        <w:pStyle w:val="Compact"/>
      </w:pPr>
      <w:r>
        <w:rPr>
          <w:bCs/>
          <w:b/>
        </w:rPr>
        <w:t xml:space="preserve">Sustainable City Initiatives:</w:t>
      </w:r>
      <w:r>
        <w:t xml:space="preserve"> </w:t>
      </w:r>
      <w:r>
        <w:t xml:space="preserve">Won the HCMC Urban Greening Project (VND 28.5 billion) to design urban wetlands for flood mitigation in District 7—showcasing how Environmental Engineer solutions align with Mayor Nguyen Thanh Phong’s "Zero Plastic by 2030" vision.</w:t>
      </w:r>
    </w:p>
    <w:bookmarkEnd w:id="23"/>
    <w:bookmarkStart w:id="24" w:name="v.-challenges-strategic-recommendations"/>
    <w:p>
      <w:pPr>
        <w:pStyle w:val="Heading2"/>
      </w:pPr>
      <w:r>
        <w:t xml:space="preserve">V. Challenges &amp; Strategic Recommendations</w:t>
      </w:r>
    </w:p>
    <w:p>
      <w:pPr>
        <w:pStyle w:val="FirstParagraph"/>
      </w:pPr>
      <w:r>
        <w:t xml:space="preserve">Despite strong growth, two challenges require immediate attention for sustained sales success in Vietnam:</w:t>
      </w:r>
    </w:p>
    <w:p>
      <w:pPr>
        <w:numPr>
          <w:ilvl w:val="0"/>
          <w:numId w:val="1003"/>
        </w:numPr>
        <w:pStyle w:val="Compact"/>
      </w:pPr>
      <w:r>
        <w:rPr>
          <w:bCs/>
          <w:b/>
        </w:rPr>
        <w:t xml:space="preserve">Talent Shortage:</w:t>
      </w:r>
      <w:r>
        <w:t xml:space="preserve"> </w:t>
      </w:r>
      <w:r>
        <w:t xml:space="preserve">Only 15% of HCMC engineering graduates possess MONRE-certified Environmental Engineering skills. *Recommendation:* Partner with Ho Chi Minh City University of Technology to develop a specialized certification track.</w:t>
      </w:r>
    </w:p>
    <w:p>
      <w:pPr>
        <w:numPr>
          <w:ilvl w:val="0"/>
          <w:numId w:val="1003"/>
        </w:numPr>
        <w:pStyle w:val="Compact"/>
      </w:pPr>
      <w:r>
        <w:rPr>
          <w:bCs/>
          <w:b/>
        </w:rPr>
        <w:t xml:space="preserve">Client Budget Constraints:</w:t>
      </w:r>
      <w:r>
        <w:t xml:space="preserve"> </w:t>
      </w:r>
      <w:r>
        <w:t xml:space="preserve">SMEs hesitate on upfront costs despite long-term savings. *Recommendation:* Introduce "Pay-Per-Compliance" pricing for emissions monitoring, reducing entry barriers for HCMC’s 15,000+ small factories.</w:t>
      </w:r>
    </w:p>
    <w:bookmarkEnd w:id="24"/>
    <w:bookmarkStart w:id="26" w:name="X2931852598f046ee9780b4196a883a13c441e95"/>
    <w:p>
      <w:pPr>
        <w:pStyle w:val="Heading2"/>
      </w:pPr>
      <w:r>
        <w:t xml:space="preserve">VI. Conclusion: The Environmental Engineer as HCMC's Growth Catalyst</w:t>
      </w:r>
    </w:p>
    <w:p>
      <w:pPr>
        <w:pStyle w:val="FirstParagraph"/>
      </w:pPr>
      <w:r>
        <w:t xml:space="preserve">HCMC’s trajectory as Vietnam’s economic engine is inextricably linked to environmental stewardship. This Q3 report confirms that the</w:t>
      </w:r>
      <w:r>
        <w:t xml:space="preserve"> </w:t>
      </w:r>
      <w:r>
        <w:rPr>
          <w:iCs/>
          <w:i/>
        </w:rPr>
        <w:t xml:space="preserve">Environmental Engineer</w:t>
      </w:r>
      <w:r>
        <w:t xml:space="preserve"> </w:t>
      </w:r>
      <w:r>
        <w:t xml:space="preserve">is no longer a "support role" but a core revenue driver—directly enabling businesses to navigate regulatory complexity, reduce operational costs, and build brand trust in Vietnam’s most competitive market. With HCMC’s population projected to reach 12 million by 2030 and the government allocating VND 57 trillion annually for green infrastructure (per Vietnam Development Bank), demand for specialized Environmental Engineering services will only accelerate.</w:t>
      </w:r>
    </w:p>
    <w:p>
      <w:pPr>
        <w:pStyle w:val="BodyText"/>
      </w:pPr>
      <w:r>
        <w:t xml:space="preserve">Our strategic focus on developing locally relevant solutions, combined with a dedicated team of certified</w:t>
      </w:r>
      <w:r>
        <w:t xml:space="preserve"> </w:t>
      </w:r>
      <w:r>
        <w:rPr>
          <w:iCs/>
          <w:i/>
        </w:rPr>
        <w:t xml:space="preserve">Environmental Engineer</w:t>
      </w:r>
      <w:r>
        <w:t xml:space="preserve">s embedded within HCMC’s industrial ecosystem, positions us to capture 40%+ of the city’s high-growth environmental consulting market by Q2 2025. The path forward is clear: Invest in talent, deepen municipal partnerships, and continue positioning Environmental Engineering as Vietnam’s non-negotiable pathway to sustainable urban prosperity.</w:t>
      </w:r>
    </w:p>
    <w:bookmarkStart w:id="25" w:name="prepared-by"/>
    <w:p>
      <w:pPr>
        <w:pStyle w:val="Heading3"/>
      </w:pPr>
      <w:r>
        <w:t xml:space="preserve">Prepared By:</w:t>
      </w:r>
    </w:p>
    <w:p>
      <w:pPr>
        <w:pStyle w:val="FirstParagraph"/>
      </w:pPr>
      <w:r>
        <w:t xml:space="preserve">Nguyen Thi Minh - Sales Director, Southeast Asia</w:t>
      </w:r>
      <w:r>
        <w:br/>
      </w:r>
      <w:r>
        <w:t xml:space="preserve">Green Horizon Consulting (HCMC Office)</w:t>
      </w:r>
      <w:r>
        <w:br/>
      </w:r>
      <w:r>
        <w:t xml:space="preserve">Phone: +84 28 3926 1234 | Email: minh.nguyen@greenhorizon.vn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Environmental Engineering Services in Ho Chi Minh City</dc:title>
  <dc:creator/>
  <dc:language>en</dc:language>
  <cp:keywords/>
  <dcterms:created xsi:type="dcterms:W3CDTF">2026-07-23T20:35:56Z</dcterms:created>
  <dcterms:modified xsi:type="dcterms:W3CDTF">2026-07-23T20:35:56Z</dcterms:modified>
</cp:coreProperties>
</file>

<file path=docProps/custom.xml><?xml version="1.0" encoding="utf-8"?>
<Properties xmlns="http://schemas.openxmlformats.org/officeDocument/2006/custom-properties" xmlns:vt="http://schemas.openxmlformats.org/officeDocument/2006/docPropsVTypes"/>
</file>