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9" w:name="Xaa9d4b4e85955b88c84871fef51e10e44a2ed6a"/>
    <w:p>
      <w:pPr>
        <w:pStyle w:val="Heading1"/>
      </w:pPr>
      <w:r>
        <w:t xml:space="preserve">Comprehensive Sales Report: Film Director Performance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performance of our flagship Film Director, Maya Ben-Ari, within the dynamic Tel Aviv film ecosystem. Operating from Israel Tel Aviv's premier production hub, Ben-Ari has achieved unprecedented commercial success with her latest feature film "Neon Horizons," generating record-breaking revenue across all distribution channels. This document validates that strategic localization in Israel Tel Aviv has positioned our Film Director as a market leader, driving 37% year-over-year growth in regional film sales and establishing Tel Aviv as an emerging global content production nexus.</w:t>
      </w:r>
    </w:p>
    <w:bookmarkEnd w:id="20"/>
    <w:bookmarkStart w:id="21" w:name="X0246975973654ae72ae9ee3f06147c270c27e7a"/>
    <w:p>
      <w:pPr>
        <w:pStyle w:val="Heading2"/>
      </w:pPr>
      <w:r>
        <w:t xml:space="preserve">II. Market Context: Why Israel Tel Aviv Matters</w:t>
      </w:r>
    </w:p>
    <w:p>
      <w:pPr>
        <w:pStyle w:val="FirstParagraph"/>
      </w:pPr>
      <w:r>
        <w:t xml:space="preserve">The Israeli film industry has undergone transformative growth, with Tel Aviv emerging as the undisputed creative capital of the Middle East. As a major international hub for film finance and distribution, Tel Aviv attracts 42% of all Middle Eastern film investments (Source: Israel Film Council, Q3 2023). This Sales Report confirms that our Film Director's deep integration with Tel Aviv's creative ecosystem—through partnerships with local studios like "CineTel Aviv" and participation in the annual Tel Aviv International Film Festival (Tiff)—has been instrumental in driving commercial results. The city's unique blend of tech innovation, cultural diversity, and world-class production infrastructure directly contributed to our Film Director's 2023 success.</w:t>
      </w:r>
    </w:p>
    <w:bookmarkEnd w:id="21"/>
    <w:bookmarkStart w:id="24" w:name="iii.-sales-performance-breakdown"/>
    <w:p>
      <w:pPr>
        <w:pStyle w:val="Heading2"/>
      </w:pPr>
      <w:r>
        <w:t xml:space="preserve">III. Sales Performance Breakdown</w:t>
      </w:r>
    </w:p>
    <w:bookmarkStart w:id="22" w:name="a.-revenue-streams-q1-q3-2023"/>
    <w:p>
      <w:pPr>
        <w:pStyle w:val="Heading3"/>
      </w:pPr>
      <w:r>
        <w:t xml:space="preserve">A. Revenue Streams (Q1-Q3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Distribution Channel</w:t>
            </w:r>
          </w:p>
        </w:tc>
        <w:tc>
          <w:tcPr/>
          <w:p>
            <w:pPr>
              <w:pStyle w:val="Compact"/>
              <w:jc w:val="left"/>
            </w:pPr>
            <w:r>
              <w:t xml:space="preserve">Revenue (USD)</w:t>
            </w:r>
          </w:p>
        </w:tc>
        <w:tc>
          <w:tcPr/>
          <w:p>
            <w:pPr>
              <w:pStyle w:val="Compact"/>
              <w:jc w:val="left"/>
            </w:pPr>
            <w:r>
              <w:t xml:space="preserve">Growth vs 2022</w:t>
            </w:r>
          </w:p>
        </w:tc>
      </w:tr>
      <w:tr>
        <w:tc>
          <w:tcPr/>
          <w:p>
            <w:pPr>
              <w:pStyle w:val="Compact"/>
              <w:jc w:val="left"/>
            </w:pPr>
            <w:r>
              <w:t xml:space="preserve">Theatrical (Israel Tel Aviv Circuit)</w:t>
            </w:r>
          </w:p>
        </w:tc>
        <w:tc>
          <w:tcPr/>
          <w:p>
            <w:pPr>
              <w:pStyle w:val="Compact"/>
              <w:jc w:val="left"/>
            </w:pPr>
            <w:r>
              <w:t xml:space="preserve">$1.8M</w:t>
            </w:r>
          </w:p>
        </w:tc>
        <w:tc>
          <w:tcPr/>
          <w:p>
            <w:pPr>
              <w:pStyle w:val="Compact"/>
              <w:jc w:val="left"/>
            </w:pPr>
            <w:r>
              <w:t xml:space="preserve">+49%</w:t>
            </w:r>
          </w:p>
        </w:tc>
      </w:tr>
      <w:tr>
        <w:tc>
          <w:tcPr/>
          <w:p>
            <w:pPr>
              <w:pStyle w:val="Compact"/>
              <w:jc w:val="left"/>
            </w:pPr>
            <w:r>
              <w:t xml:space="preserve">Streaming Partnerships (Netflix, iQIYI)</w:t>
            </w:r>
          </w:p>
        </w:tc>
        <w:tc>
          <w:tcPr/>
          <w:p>
            <w:pPr>
              <w:pStyle w:val="Compact"/>
              <w:jc w:val="left"/>
            </w:pPr>
            <w:r>
              <w:t xml:space="preserve">$3.2M</w:t>
            </w:r>
          </w:p>
        </w:tc>
        <w:tc>
          <w:tcPr/>
          <w:p>
            <w:pPr>
              <w:pStyle w:val="Compact"/>
              <w:jc w:val="left"/>
            </w:pPr>
            <w:r>
              <w:t xml:space="preserve">+67%</w:t>
            </w:r>
          </w:p>
        </w:tc>
      </w:tr>
      <w:tr>
        <w:tc>
          <w:tcPr/>
          <w:p>
            <w:pPr>
              <w:pStyle w:val="Compact"/>
              <w:jc w:val="left"/>
            </w:pPr>
            <w:r>
              <w:t xml:space="preserve">International Film Festival Sales (Tel Aviv as Base)</w:t>
            </w:r>
          </w:p>
        </w:tc>
        <w:tc>
          <w:tcPr/>
          <w:p>
            <w:pPr>
              <w:pStyle w:val="Compact"/>
              <w:jc w:val="left"/>
            </w:pPr>
            <w:r>
              <w:t xml:space="preserve">$950K</w:t>
            </w:r>
          </w:p>
        </w:tc>
        <w:tc>
          <w:tcPr/>
          <w:p>
            <w:pPr>
              <w:pStyle w:val="Compact"/>
              <w:jc w:val="left"/>
            </w:pPr>
            <w:r>
              <w:t xml:space="preserve">+81%</w:t>
            </w:r>
          </w:p>
        </w:tc>
      </w:tr>
      <w:tr>
        <w:tc>
          <w:tcPr/>
          <w:p>
            <w:pPr>
              <w:pStyle w:val="Compact"/>
              <w:jc w:val="left"/>
            </w:pPr>
            <w:r>
              <w:rPr>
                <w:bCs/>
                <w:b/>
              </w:rPr>
              <w:t xml:space="preserve">Total Revenue</w:t>
            </w:r>
          </w:p>
        </w:tc>
        <w:tc>
          <w:tcPr/>
          <w:p>
            <w:pPr>
              <w:pStyle w:val="Compact"/>
              <w:jc w:val="left"/>
            </w:pPr>
            <w:r>
              <w:rPr>
                <w:bCs/>
                <w:b/>
              </w:rPr>
              <w:t xml:space="preserve">$5.95M</w:t>
            </w:r>
          </w:p>
        </w:tc>
        <w:tc>
          <w:tcPr/>
          <w:p>
            <w:pPr>
              <w:pStyle w:val="Compact"/>
              <w:jc w:val="left"/>
            </w:pPr>
            <w:r>
              <w:rPr>
                <w:bCs/>
                <w:b/>
              </w:rPr>
              <w:t xml:space="preserve">+62% YoY</w:t>
            </w:r>
          </w:p>
        </w:tc>
      </w:tr>
    </w:tbl>
    <w:p>
      <w:pPr>
        <w:pStyle w:val="BodyText"/>
      </w:pPr>
      <w:r>
        <w:t xml:space="preserve">Notably, 78% of all revenue originated from the Israel Tel Aviv market through direct sales channels, demonstrating the Film Director's mastery of local audience engagement. The film's Tel Aviv-set narrative resonated deeply with domestic viewership, while strategic partnerships with local streaming platforms (including "Kan 11" and "Walla!") accelerated digital adoption.</w:t>
      </w:r>
    </w:p>
    <w:bookmarkEnd w:id="22"/>
    <w:bookmarkStart w:id="23" w:name="X0215ec199b45eb250b458515524f587d5e82e06"/>
    <w:p>
      <w:pPr>
        <w:pStyle w:val="Heading3"/>
      </w:pPr>
      <w:r>
        <w:t xml:space="preserve">B. Key Sales Milestones in Israel Tel Aviv</w:t>
      </w:r>
    </w:p>
    <w:p>
      <w:pPr>
        <w:numPr>
          <w:ilvl w:val="0"/>
          <w:numId w:val="1001"/>
        </w:numPr>
        <w:pStyle w:val="Compact"/>
      </w:pPr>
      <w:r>
        <w:rPr>
          <w:bCs/>
          <w:b/>
        </w:rPr>
        <w:t xml:space="preserve">Record Opening Weekend:</w:t>
      </w:r>
      <w:r>
        <w:t xml:space="preserve"> </w:t>
      </w:r>
      <w:r>
        <w:t xml:space="preserve">Achieved $580,000 in Tel Aviv's 12-screen cinema circuit—surpassing last year's regional record by 29%</w:t>
      </w:r>
    </w:p>
    <w:p>
      <w:pPr>
        <w:numPr>
          <w:ilvl w:val="0"/>
          <w:numId w:val="1001"/>
        </w:numPr>
        <w:pStyle w:val="Compact"/>
      </w:pPr>
      <w:r>
        <w:rPr>
          <w:bCs/>
          <w:b/>
        </w:rPr>
        <w:t xml:space="preserve">Tel Aviv International Film Festival (TIFF) Success:</w:t>
      </w:r>
      <w:r>
        <w:t xml:space="preserve"> </w:t>
      </w:r>
      <w:r>
        <w:t xml:space="preserve">Secured top prize and sold distribution rights to 17 markets during TIFF, leveraging our Film Director's Tel Aviv-based network</w:t>
      </w:r>
    </w:p>
    <w:p>
      <w:pPr>
        <w:numPr>
          <w:ilvl w:val="0"/>
          <w:numId w:val="1001"/>
        </w:numPr>
        <w:pStyle w:val="Compact"/>
      </w:pPr>
      <w:r>
        <w:rPr>
          <w:bCs/>
          <w:b/>
        </w:rPr>
        <w:t xml:space="preserve">Local Partnerships:</w:t>
      </w:r>
      <w:r>
        <w:t xml:space="preserve"> </w:t>
      </w:r>
      <w:r>
        <w:t xml:space="preserve">Signed landmark deal with "Tel Aviv Cinemateque" for exclusive 2024 screenings, generating $230K in advance ticket sales</w:t>
      </w:r>
    </w:p>
    <w:p>
      <w:pPr>
        <w:numPr>
          <w:ilvl w:val="0"/>
          <w:numId w:val="1001"/>
        </w:numPr>
        <w:pStyle w:val="Compact"/>
      </w:pPr>
      <w:r>
        <w:rPr>
          <w:bCs/>
          <w:b/>
        </w:rPr>
        <w:t xml:space="preserve">Corporate Sponsorships:</w:t>
      </w:r>
      <w:r>
        <w:t xml:space="preserve"> </w:t>
      </w:r>
      <w:r>
        <w:t xml:space="preserve">Secured tech partnerships (including Waze and Fiverr) through Tel Aviv's startup ecosystem, adding $1.1M to non-ticket revenue</w:t>
      </w:r>
    </w:p>
    <w:bookmarkEnd w:id="23"/>
    <w:bookmarkEnd w:id="24"/>
    <w:bookmarkStart w:id="25" w:name="X16c1ae8e7060f4da35208195f1756e1742803f0"/>
    <w:p>
      <w:pPr>
        <w:pStyle w:val="Heading2"/>
      </w:pPr>
      <w:r>
        <w:t xml:space="preserve">IV. Strategic Analysis: The Film Director's Tel Aviv Advantage</w:t>
      </w:r>
    </w:p>
    <w:p>
      <w:pPr>
        <w:pStyle w:val="FirstParagraph"/>
      </w:pPr>
      <w:r>
        <w:t xml:space="preserve">This Sales Report identifies three critical factors where our Film Director's Israel Tel Aviv integration created competitive differentiation:</w:t>
      </w:r>
    </w:p>
    <w:p>
      <w:pPr>
        <w:numPr>
          <w:ilvl w:val="0"/>
          <w:numId w:val="1002"/>
        </w:numPr>
        <w:pStyle w:val="Compact"/>
      </w:pPr>
      <w:r>
        <w:rPr>
          <w:bCs/>
          <w:b/>
        </w:rPr>
        <w:t xml:space="preserve">Hyper-Local Content Strategy:</w:t>
      </w:r>
      <w:r>
        <w:t xml:space="preserve"> </w:t>
      </w:r>
      <w:r>
        <w:t xml:space="preserve">The Film Director embedded cultural nuances specific to Tel Aviv (e.g., scenes at Jaffa Port, the Dizengoff Center) that boosted local box office by 34% over comparable films. Audience surveys confirmed 89% of Israeli viewers felt "authentically represented" in the film.</w:t>
      </w:r>
    </w:p>
    <w:p>
      <w:pPr>
        <w:numPr>
          <w:ilvl w:val="0"/>
          <w:numId w:val="1002"/>
        </w:numPr>
        <w:pStyle w:val="Compact"/>
      </w:pPr>
      <w:r>
        <w:rPr>
          <w:bCs/>
          <w:b/>
        </w:rPr>
        <w:t xml:space="preserve">Production Efficiency:</w:t>
      </w:r>
      <w:r>
        <w:t xml:space="preserve"> </w:t>
      </w:r>
      <w:r>
        <w:t xml:space="preserve">By operating from Tel Aviv's integrated production zone (with tax incentives from the Israel Film Fund), shooting costs decreased by 22% versus international locations—directly improving profit margins.</w:t>
      </w:r>
    </w:p>
    <w:p>
      <w:pPr>
        <w:numPr>
          <w:ilvl w:val="0"/>
          <w:numId w:val="1002"/>
        </w:numPr>
        <w:pStyle w:val="Compact"/>
      </w:pPr>
      <w:r>
        <w:rPr>
          <w:bCs/>
          <w:b/>
        </w:rPr>
        <w:t xml:space="preserve">Tel Aviv as Global Gateway:</w:t>
      </w:r>
      <w:r>
        <w:t xml:space="preserve"> </w:t>
      </w:r>
      <w:r>
        <w:t xml:space="preserve">The city's status as a hub for European and Asian film buyers enabled our Film Director to secure distribution deals before major festivals, creating an "early-mover" advantage. Tel Aviv's 15-hour flight connectivity to major markets (Dubai, Berlin) was pivotal in closing international sales during Q2.</w:t>
      </w:r>
    </w:p>
    <w:bookmarkEnd w:id="25"/>
    <w:bookmarkStart w:id="26" w:name="v.-competitive-landscape-assessment"/>
    <w:p>
      <w:pPr>
        <w:pStyle w:val="Heading2"/>
      </w:pPr>
      <w:r>
        <w:t xml:space="preserve">V. Competitive Landscape Assessment</w:t>
      </w:r>
    </w:p>
    <w:p>
      <w:pPr>
        <w:pStyle w:val="FirstParagraph"/>
      </w:pPr>
      <w:r>
        <w:t xml:space="preserve">While competing Film Directors across the region struggled with declining local theater attendance, our Film Director's Israel Tel Aviv strategy delivered outsized results. The Sales Report notes that Tel Aviv-based directors captured 68% of all high-margin theatrical revenue in Israel—up from 51% in 2022—proving the strategic value of city-centric operations. Crucially, this success wasn't isolated: "Neon Horizons" became the first Israeli film to top streaming charts in both Europe and MENA regions simultaneously, a feat directly tied to Tel Aviv's geographic positioning as a cultural bridge.</w:t>
      </w:r>
    </w:p>
    <w:bookmarkEnd w:id="26"/>
    <w:bookmarkStart w:id="27" w:name="X6e031b4e09b35aa2dc2c3dd6e5a1bdbad6434fe"/>
    <w:p>
      <w:pPr>
        <w:pStyle w:val="Heading2"/>
      </w:pPr>
      <w:r>
        <w:t xml:space="preserve">VI. Future Outlook &amp; Strategic Recommendations</w:t>
      </w:r>
    </w:p>
    <w:p>
      <w:pPr>
        <w:pStyle w:val="FirstParagraph"/>
      </w:pPr>
      <w:r>
        <w:t xml:space="preserve">This Sales Report concludes that Israel Tel Aviv must be prioritized as our Film Director's primary operational base. We recommend:</w:t>
      </w:r>
    </w:p>
    <w:p>
      <w:pPr>
        <w:numPr>
          <w:ilvl w:val="0"/>
          <w:numId w:val="1003"/>
        </w:numPr>
        <w:pStyle w:val="Compact"/>
      </w:pPr>
      <w:r>
        <w:t xml:space="preserve">Establishing a permanent "Tel Aviv Creative Studio" under our Film Director's leadership, targeting $8M+ in 2024 revenue</w:t>
      </w:r>
    </w:p>
    <w:p>
      <w:pPr>
        <w:numPr>
          <w:ilvl w:val="0"/>
          <w:numId w:val="1003"/>
        </w:numPr>
        <w:pStyle w:val="Compact"/>
      </w:pPr>
      <w:r>
        <w:t xml:space="preserve">Expanding the Tel Aviv film festival partnership to include co-production financing with TIFF</w:t>
      </w:r>
    </w:p>
    <w:p>
      <w:pPr>
        <w:numPr>
          <w:ilvl w:val="0"/>
          <w:numId w:val="1003"/>
        </w:numPr>
        <w:pStyle w:val="Compact"/>
      </w:pPr>
      <w:r>
        <w:t xml:space="preserve">Leveraging Tel Aviv's startup ecosystem for AI-driven audience analytics (already piloted with "DataFilm Tel Aviv")</w:t>
      </w:r>
    </w:p>
    <w:p>
      <w:pPr>
        <w:pStyle w:val="FirstParagraph"/>
      </w:pPr>
      <w:r>
        <w:t xml:space="preserve">The evidence is unequivocal: When a Film Director strategically anchors operations in Israel Tel Aviv, the commercial outcomes are transformative. Our Film Director has not merely succeeded within the local market—she has redefined its potential. This Sales Report confirms that for international film distributors, Tel Aviv isn't just a location; it's a growth catalyst.</w:t>
      </w:r>
    </w:p>
    <w:bookmarkEnd w:id="27"/>
    <w:bookmarkStart w:id="28" w:name="vii.-conclusion"/>
    <w:p>
      <w:pPr>
        <w:pStyle w:val="Heading2"/>
      </w:pPr>
      <w:r>
        <w:t xml:space="preserve">VII. Conclusion</w:t>
      </w:r>
    </w:p>
    <w:p>
      <w:pPr>
        <w:pStyle w:val="FirstParagraph"/>
      </w:pPr>
      <w:r>
        <w:t xml:space="preserve">In this competitive landscape, the synergy between Film Director expertise and Israel Tel Aviv's creative infrastructure has proven to be the most effective sales engine in the region. The data presented here—showing 62% YoY revenue growth directly attributable to Tel Aviv operations—cements our strategic position. As we prepare for "Neon Horizons" sequel production, this Sales Report affirms that continued investment in our Film Director's Tel Aviv base will yield compounding returns. The future of film distribution isn't just about content; it's about context. And in the context of Israel Tel Aviv, our Film Director has delivered exceptional results.</w:t>
      </w:r>
    </w:p>
    <w:p>
      <w:pPr>
        <w:pStyle w:val="BodyText"/>
      </w:pPr>
      <w:r>
        <w:rPr>
          <w:bCs/>
          <w:b/>
        </w:rPr>
        <w:t xml:space="preserve">Prepared by:</w:t>
      </w:r>
      <w:r>
        <w:t xml:space="preserve"> </w:t>
      </w:r>
      <w:r>
        <w:t xml:space="preserve">Global Content Analytics Division</w:t>
      </w:r>
      <w:r>
        <w:br/>
      </w:r>
      <w:r>
        <w:rPr>
          <w:bCs/>
          <w:b/>
        </w:rPr>
        <w:t xml:space="preserve">Signature:</w:t>
      </w:r>
      <w:r>
        <w:t xml:space="preserve"> </w:t>
      </w:r>
      <w:r>
        <w:t xml:space="preserve">A. Cohen, VP International Sales</w:t>
      </w:r>
      <w:r>
        <w:br/>
      </w:r>
      <w:r>
        <w:rPr>
          <w:bCs/>
          <w:b/>
        </w:rPr>
        <w:t xml:space="preserve">Contact:</w:t>
      </w:r>
      <w:r>
        <w:t xml:space="preserve"> </w:t>
      </w:r>
      <w:r>
        <w:t xml:space="preserve">analytics@globalfilm.com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Israel Tel Aviv Market</dc:title>
  <dc:creator/>
  <dc:language>en</dc:language>
  <cp:keywords/>
  <dcterms:created xsi:type="dcterms:W3CDTF">2026-07-24T15:15:23Z</dcterms:created>
  <dcterms:modified xsi:type="dcterms:W3CDTF">2026-07-24T15:15:23Z</dcterms:modified>
</cp:coreProperties>
</file>

<file path=docProps/custom.xml><?xml version="1.0" encoding="utf-8"?>
<Properties xmlns="http://schemas.openxmlformats.org/officeDocument/2006/custom-properties" xmlns:vt="http://schemas.openxmlformats.org/officeDocument/2006/docPropsVTypes"/>
</file>