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6" w:name="Xc2626d927d1a449c6f3b04fde715770de6da78e"/>
    <w:p>
      <w:pPr>
        <w:pStyle w:val="Heading1"/>
      </w:pPr>
      <w:r>
        <w:t xml:space="preserve">Sales Performance Analysis &amp; Strategic Insights Report for Financial Analyst Role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Operations (Argentina) |</w:t>
      </w:r>
      <w:r>
        <w:t xml:space="preserve"> </w:t>
      </w:r>
      <w:r>
        <w:rPr>
          <w:bCs/>
          <w:b/>
        </w:rPr>
        <w:t xml:space="preserve">Report Author:</w:t>
      </w:r>
      <w:r>
        <w:t xml:space="preserve"> </w:t>
      </w:r>
      <w:r>
        <w:t xml:space="preserve">Senior Financial Analyst</w:t>
      </w:r>
    </w:p>
    <w:bookmarkStart w:id="20" w:name="i.-executive-summary"/>
    <w:p>
      <w:pPr>
        <w:pStyle w:val="Heading2"/>
      </w:pPr>
      <w:r>
        <w:t xml:space="preserve">I. Executive Summary</w:t>
      </w:r>
    </w:p>
    <w:p>
      <w:pPr>
        <w:pStyle w:val="FirstParagraph"/>
      </w:pPr>
      <w:r>
        <w:t xml:space="preserve">This comprehensive Sales Report details the performance of the Financial Analyst function within our Buenos Aires operations for Q3 2023, analyzing critical sales metrics against Argentina's volatile economic landscape. The Financial Analyst team provided indispensable insights driving data-informed decisions across all commercial activities in Argentina Buenos Aires. Despite navigating unprecedented inflation (official rate: ~200% annually) and currency devaluation, the Buenos Aires market demonstrated resilience through strategic pricing adjustments and localized product adaptation—directly informed by our Financial Analyst's real-time forecasting models. This report confirms that robust financial analysis is not merely supportive but fundamental to sales success in the Argentina Buenos Aires context.</w:t>
      </w:r>
    </w:p>
    <w:bookmarkEnd w:id="20"/>
    <w:bookmarkStart w:id="21" w:name="X607b868a5c987856d2fb22e61d662c6bcf3a4d6"/>
    <w:p>
      <w:pPr>
        <w:pStyle w:val="Heading2"/>
      </w:pPr>
      <w:r>
        <w:t xml:space="preserve">II. Argentina Buenos Aires Market Context &amp; Key Challenges</w:t>
      </w:r>
    </w:p>
    <w:p>
      <w:pPr>
        <w:pStyle w:val="FirstParagraph"/>
      </w:pPr>
      <w:r>
        <w:t xml:space="preserve">The economic environment in Argentina Buenos Aires remains exceptionally challenging, characterized by:</w:t>
      </w:r>
    </w:p>
    <w:p>
      <w:pPr>
        <w:numPr>
          <w:ilvl w:val="0"/>
          <w:numId w:val="1001"/>
        </w:numPr>
        <w:pStyle w:val="Compact"/>
      </w:pPr>
      <w:r>
        <w:rPr>
          <w:bCs/>
          <w:b/>
        </w:rPr>
        <w:t xml:space="preserve">Inflation:</w:t>
      </w:r>
      <w:r>
        <w:t xml:space="preserve"> </w:t>
      </w:r>
      <w:r>
        <w:t xml:space="preserve">200% annualized rate (August 2023), severely compressing real sales growth.</w:t>
      </w:r>
    </w:p>
    <w:p>
      <w:pPr>
        <w:numPr>
          <w:ilvl w:val="0"/>
          <w:numId w:val="1001"/>
        </w:numPr>
        <w:pStyle w:val="Compact"/>
      </w:pPr>
      <w:r>
        <w:rPr>
          <w:bCs/>
          <w:b/>
        </w:rPr>
        <w:t xml:space="preserve">Currency Volatility:</w:t>
      </w:r>
      <w:r>
        <w:t xml:space="preserve"> </w:t>
      </w:r>
      <w:r>
        <w:t xml:space="preserve">ARS depreciated ~45% against USD in Q3, increasing import costs and pricing complexity.</w:t>
      </w:r>
    </w:p>
    <w:p>
      <w:pPr>
        <w:numPr>
          <w:ilvl w:val="0"/>
          <w:numId w:val="1001"/>
        </w:numPr>
        <w:pStyle w:val="Compact"/>
      </w:pPr>
      <w:r>
        <w:rPr>
          <w:bCs/>
          <w:b/>
        </w:rPr>
        <w:t xml:space="preserve">Regulatory Pressures:</w:t>
      </w:r>
      <w:r>
        <w:t xml:space="preserve"> </w:t>
      </w:r>
      <w:r>
        <w:t xml:space="preserve">AFIP (Argentine Tax Authority) compliance demands strict financial reporting accuracy.</w:t>
      </w:r>
    </w:p>
    <w:p>
      <w:pPr>
        <w:pStyle w:val="FirstParagraph"/>
      </w:pPr>
      <w:r>
        <w:t xml:space="preserve">The Financial Analyst role in Buenos Aires is uniquely critical here. Unlike stable markets, the local Financial Analyst must continuously model hyperinflation scenarios, advise on dynamic pricing strategies tied to forex fluctuations, and ensure sales contracts protect margin integrity—all while maintaining operational agility within Argentina's complex regulatory framework.</w:t>
      </w:r>
    </w:p>
    <w:bookmarkEnd w:id="21"/>
    <w:bookmarkStart w:id="22" w:name="Xebc4ce03ee9dd58e05c41e0a51930ede312a977"/>
    <w:p>
      <w:pPr>
        <w:pStyle w:val="Heading2"/>
      </w:pPr>
      <w:r>
        <w:t xml:space="preserve">III. Q3 2023 Sales Performance Analysis (Argentina Buenos Aires)</w:t>
      </w:r>
    </w:p>
    <w:p>
      <w:pPr>
        <w:pStyle w:val="FirstParagraph"/>
      </w:pPr>
      <w:r>
        <w:t xml:space="preserve">Our Financial Analyst team delivered granular insights into sales performance, revealing both opportunities and risks specific to the Buenos Aires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 Change</w:t>
            </w:r>
          </w:p>
        </w:tc>
        <w:tc>
          <w:tcPr/>
          <w:p>
            <w:pPr>
              <w:pStyle w:val="Compact"/>
              <w:jc w:val="left"/>
            </w:pPr>
            <w:r>
              <w:t xml:space="preserve">Buenos Aires Context Insight (Financial Analyst Analysis)</w:t>
            </w:r>
          </w:p>
        </w:tc>
      </w:tr>
      <w:tr>
        <w:tc>
          <w:tcPr/>
          <w:p>
            <w:pPr>
              <w:pStyle w:val="Compact"/>
              <w:jc w:val="left"/>
            </w:pPr>
            <w:r>
              <w:t xml:space="preserve">Revenue (USD)</w:t>
            </w:r>
          </w:p>
        </w:tc>
        <w:tc>
          <w:tcPr/>
          <w:p>
            <w:pPr>
              <w:pStyle w:val="Compact"/>
              <w:jc w:val="left"/>
            </w:pPr>
            <w:r>
              <w:t xml:space="preserve">$1.85M</w:t>
            </w:r>
          </w:p>
        </w:tc>
        <w:tc>
          <w:tcPr/>
          <w:p>
            <w:pPr>
              <w:pStyle w:val="Compact"/>
              <w:jc w:val="left"/>
            </w:pPr>
            <w:r>
              <w:t xml:space="preserve">$1.62M</w:t>
            </w:r>
          </w:p>
        </w:tc>
        <w:tc>
          <w:tcPr/>
          <w:p>
            <w:pPr>
              <w:pStyle w:val="Compact"/>
              <w:jc w:val="left"/>
            </w:pPr>
            <w:r>
              <w:t xml:space="preserve">+14.2%</w:t>
            </w:r>
          </w:p>
        </w:tc>
        <w:tc>
          <w:tcPr/>
          <w:p>
            <w:pPr>
              <w:pStyle w:val="Compact"/>
              <w:jc w:val="left"/>
            </w:pPr>
            <w:r>
              <w:t xml:space="preserve">Driven by 30% price adjustment on core products; Financial Analyst modeled ARS/USD impact to avoid margin erosion.</w:t>
            </w:r>
          </w:p>
        </w:tc>
      </w:tr>
      <w:tr>
        <w:tc>
          <w:tcPr/>
          <w:p>
            <w:pPr>
              <w:pStyle w:val="Compact"/>
              <w:jc w:val="left"/>
            </w:pPr>
            <w:r>
              <w:t xml:space="preserve">Unit Sales Volume</w:t>
            </w:r>
          </w:p>
        </w:tc>
        <w:tc>
          <w:tcPr/>
          <w:p>
            <w:pPr>
              <w:pStyle w:val="Compact"/>
              <w:jc w:val="left"/>
            </w:pPr>
            <w:r>
              <w:t xml:space="preserve">18,500 units</w:t>
            </w:r>
          </w:p>
        </w:tc>
        <w:tc>
          <w:tcPr/>
          <w:p>
            <w:pPr>
              <w:pStyle w:val="Compact"/>
              <w:jc w:val="left"/>
            </w:pPr>
            <w:r>
              <w:t xml:space="preserve">20,100 units</w:t>
            </w:r>
          </w:p>
        </w:tc>
        <w:tc>
          <w:tcPr/>
          <w:p>
            <w:pPr>
              <w:pStyle w:val="Compact"/>
              <w:jc w:val="left"/>
            </w:pPr>
            <w:r>
              <w:t xml:space="preserve">-7.9%</w:t>
            </w:r>
          </w:p>
        </w:tc>
        <w:tc>
          <w:tcPr/>
          <w:p>
            <w:pPr>
              <w:pStyle w:val="Compact"/>
              <w:jc w:val="left"/>
            </w:pPr>
            <w:r>
              <w:t xml:space="preserve">Liquidity constraints in Argentina reduced volume; Financial Analyst identified high-value segments (Buenos Aires SMEs) to target.</w:t>
            </w:r>
          </w:p>
        </w:tc>
      </w:tr>
      <w:tr>
        <w:tc>
          <w:tcPr/>
          <w:p>
            <w:pPr>
              <w:pStyle w:val="Compact"/>
              <w:jc w:val="left"/>
            </w:pPr>
            <w:r>
              <w:t xml:space="preserve">Net Profit Margin</w:t>
            </w:r>
          </w:p>
        </w:tc>
        <w:tc>
          <w:tcPr/>
          <w:p>
            <w:pPr>
              <w:pStyle w:val="Compact"/>
              <w:jc w:val="left"/>
            </w:pPr>
            <w:r>
              <w:t xml:space="preserve">28.5%</w:t>
            </w:r>
          </w:p>
        </w:tc>
        <w:tc>
          <w:tcPr/>
          <w:p>
            <w:pPr>
              <w:pStyle w:val="Compact"/>
              <w:jc w:val="left"/>
            </w:pPr>
            <w:r>
              <w:t xml:space="preserve">24.1%</w:t>
            </w:r>
          </w:p>
        </w:tc>
        <w:tc>
          <w:tcPr/>
          <w:p>
            <w:pPr>
              <w:pStyle w:val="Compact"/>
              <w:jc w:val="left"/>
            </w:pPr>
            <w:r>
              <w:t xml:space="preserve">+4.4 pts</w:t>
            </w:r>
          </w:p>
        </w:tc>
        <w:tc>
          <w:tcPr/>
          <w:p>
            <w:pPr>
              <w:pStyle w:val="Compact"/>
              <w:jc w:val="left"/>
            </w:pPr>
            <w:r>
              <w:t xml:space="preserve">Currency hedging strategies (recommended by Financial Analyst) offset 92% of forex loss.</w:t>
            </w:r>
          </w:p>
        </w:tc>
      </w:tr>
    </w:tbl>
    <w:p>
      <w:pPr>
        <w:pStyle w:val="BodyText"/>
      </w:pPr>
      <w:r>
        <w:t xml:space="preserve">The Financial Analyst's role was pivotal in interpreting these figures: They isolated the true market growth rate (after inflation adjustment) at 6.3% vs. reported revenue growth, proving that sales targets must be recalibrated using Argentina-specific economic metrics—something only a locally embedded Financial Analyst can accurately model.</w:t>
      </w:r>
    </w:p>
    <w:bookmarkEnd w:id="22"/>
    <w:bookmarkStart w:id="23" w:name="X5c0023a4f99084e81a4ee63af1674280f2b8834"/>
    <w:p>
      <w:pPr>
        <w:pStyle w:val="Heading2"/>
      </w:pPr>
      <w:r>
        <w:t xml:space="preserve">IV. Critical Success Factors in Buenos Aires: The Financial Analyst's Impact</w:t>
      </w:r>
    </w:p>
    <w:p>
      <w:pPr>
        <w:pStyle w:val="FirstParagraph"/>
      </w:pPr>
      <w:r>
        <w:t xml:space="preserve">Three strategic areas where the Buenos Aires Financial Analyst directly influenced sales outcomes:</w:t>
      </w:r>
    </w:p>
    <w:p>
      <w:pPr>
        <w:numPr>
          <w:ilvl w:val="0"/>
          <w:numId w:val="1002"/>
        </w:numPr>
        <w:pStyle w:val="Compact"/>
      </w:pPr>
      <w:r>
        <w:rPr>
          <w:bCs/>
          <w:b/>
        </w:rPr>
        <w:t xml:space="preserve">Pricing Strategy Optimization:</w:t>
      </w:r>
      <w:r>
        <w:t xml:space="preserve"> </w:t>
      </w:r>
      <w:r>
        <w:t xml:space="preserve">The team developed a dynamic pricing algorithm integrating daily ARS/USD rates and inflation indices. This allowed sales teams to adjust quotes in real-time, securing 12 new enterprise contracts in Q3 (up 35% YoY) despite market volatility. Without this Financial Analyst-driven tool, we would have lost ~$280K in potential deal value.</w:t>
      </w:r>
    </w:p>
    <w:p>
      <w:pPr>
        <w:numPr>
          <w:ilvl w:val="0"/>
          <w:numId w:val="1002"/>
        </w:numPr>
        <w:pStyle w:val="Compact"/>
      </w:pPr>
      <w:r>
        <w:rPr>
          <w:bCs/>
          <w:b/>
        </w:rPr>
        <w:t xml:space="preserve">Customer Portfolio Analysis:</w:t>
      </w:r>
      <w:r>
        <w:t xml:space="preserve"> </w:t>
      </w:r>
      <w:r>
        <w:t xml:space="preserve">By segmenting clients based on payment behavior and economic resilience (using Argentina-specific credit scoring models), the Financial Analyst identified 47 high-potential SMEs in Buenos Aires. Targeted sales outreach to this group generated $512K in new pipeline—representing 38% of Q3 revenue.</w:t>
      </w:r>
    </w:p>
    <w:p>
      <w:pPr>
        <w:numPr>
          <w:ilvl w:val="0"/>
          <w:numId w:val="1002"/>
        </w:numPr>
        <w:pStyle w:val="Compact"/>
      </w:pPr>
      <w:r>
        <w:rPr>
          <w:bCs/>
          <w:b/>
        </w:rPr>
        <w:t xml:space="preserve">Risk Mitigation for AFIP Compliance:</w:t>
      </w:r>
      <w:r>
        <w:t xml:space="preserve"> </w:t>
      </w:r>
      <w:r>
        <w:t xml:space="preserve">The Financial Analyst team preempted a regulatory audit by restructuring 14 client contracts to meet Argentina's new transfer pricing rules. This avoided potential penalties exceeding $750K and maintained sales momentum during compliance checks.</w:t>
      </w:r>
    </w:p>
    <w:bookmarkEnd w:id="23"/>
    <w:bookmarkStart w:id="24" w:name="X091c5b32c6f986771fed9d3f7ddd14228dafc6a"/>
    <w:p>
      <w:pPr>
        <w:pStyle w:val="Heading2"/>
      </w:pPr>
      <w:r>
        <w:t xml:space="preserve">V. Recommendations for Q4 2023 &amp; Beyond in Argentina Buenos Aires</w:t>
      </w:r>
    </w:p>
    <w:p>
      <w:pPr>
        <w:pStyle w:val="FirstParagraph"/>
      </w:pPr>
      <w:r>
        <w:t xml:space="preserve">Based on the Financial Analyst's findings, we recommend:</w:t>
      </w:r>
    </w:p>
    <w:p>
      <w:pPr>
        <w:numPr>
          <w:ilvl w:val="0"/>
          <w:numId w:val="1003"/>
        </w:numPr>
        <w:pStyle w:val="Compact"/>
      </w:pPr>
      <w:r>
        <w:rPr>
          <w:bCs/>
          <w:b/>
        </w:rPr>
        <w:t xml:space="preserve">Implement AI-Powered Inflation Modeling:</w:t>
      </w:r>
      <w:r>
        <w:t xml:space="preserve"> </w:t>
      </w:r>
      <w:r>
        <w:t xml:space="preserve">Deploy a dedicated Argentina Buenos Aires inflation forecasting module (already prototyped by our Financial Analyst) to predict monthly pricing needs with 95% accuracy.</w:t>
      </w:r>
    </w:p>
    <w:p>
      <w:pPr>
        <w:numPr>
          <w:ilvl w:val="0"/>
          <w:numId w:val="1003"/>
        </w:numPr>
        <w:pStyle w:val="Compact"/>
      </w:pPr>
      <w:r>
        <w:rPr>
          <w:bCs/>
          <w:b/>
        </w:rPr>
        <w:t xml:space="preserve">Expand Hyperlocal Sales-Analysis Partnership:</w:t>
      </w:r>
      <w:r>
        <w:t xml:space="preserve"> </w:t>
      </w:r>
      <w:r>
        <w:t xml:space="preserve">Embed Financial Analysts directly within sales teams for daily market feedback loops. This reduced quote turnaround time by 40% in Buenos Aires pilot segments.</w:t>
      </w:r>
    </w:p>
    <w:p>
      <w:pPr>
        <w:numPr>
          <w:ilvl w:val="0"/>
          <w:numId w:val="1003"/>
        </w:numPr>
        <w:pStyle w:val="Compact"/>
      </w:pPr>
      <w:r>
        <w:rPr>
          <w:bCs/>
          <w:b/>
        </w:rPr>
        <w:t xml:space="preserve">Develop Argentina-Specific KPIs:</w:t>
      </w:r>
      <w:r>
        <w:t xml:space="preserve"> </w:t>
      </w:r>
      <w:r>
        <w:t xml:space="preserve">Replace generic revenue targets with "Real Growth Rate" (adjusted for inflation) and "Currency-Neutral Margin" as primary sales metrics—adopted from Financial Analyst recommendations.</w:t>
      </w:r>
    </w:p>
    <w:bookmarkEnd w:id="24"/>
    <w:bookmarkStart w:id="25" w:name="vi.-conclusion"/>
    <w:p>
      <w:pPr>
        <w:pStyle w:val="Heading2"/>
      </w:pPr>
      <w:r>
        <w:t xml:space="preserve">VI. Conclusion</w:t>
      </w:r>
    </w:p>
    <w:p>
      <w:pPr>
        <w:pStyle w:val="FirstParagraph"/>
      </w:pPr>
      <w:r>
        <w:t xml:space="preserve">This Sales Report unequivocally demonstrates that the Financial Analyst function is the cornerstone of commercial success in Argentina Buenos Aires. In a market where economic instability can erase 80% of nominal revenue growth overnight, our Financial Analyst team’s ability to transform complex local data into actionable sales intelligence has directly driven $1.2M in incremental value during Q3 alone. The integration of Financial Analyst insights into the sales strategy—not as a support function but as a core strategic partner—enabled us to not just survive Argentina's volatile market, but to outperform regional competitors by 19% in margin growth.</w:t>
      </w:r>
    </w:p>
    <w:p>
      <w:pPr>
        <w:pStyle w:val="BodyText"/>
      </w:pPr>
      <w:r>
        <w:t xml:space="preserve">For sustained leadership in Buenos Aires, we must institutionalize the Financial Analyst role as a non-negotiable element of sales operations. This is not merely about reporting; it's about architecting resilience within Argentina's unique economic ecosystem. The data is clear: Without the Financial Analyst’s localized expertise, achieving our Buenos Aires sales targets would be impossible.</w:t>
      </w:r>
    </w:p>
    <w:p>
      <w:pPr>
        <w:pStyle w:val="BodyText"/>
      </w:pPr>
      <w:r>
        <w:rPr>
          <w:bCs/>
          <w:b/>
        </w:rPr>
        <w:t xml:space="preserve">Prepared by:</w:t>
      </w:r>
      <w:r>
        <w:t xml:space="preserve"> </w:t>
      </w:r>
      <w:r>
        <w:t xml:space="preserve">[Financial Analyst Name/Team], Buenos Aires |</w:t>
      </w:r>
      <w:r>
        <w:t xml:space="preserve"> </w:t>
      </w:r>
      <w:r>
        <w:rPr>
          <w:bCs/>
          <w:b/>
        </w:rPr>
        <w:t xml:space="preserve">For Strategic Review in Argentina Operations Leadership Meeting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Argentina Buenos Aires</dc:title>
  <dc:creator/>
  <dc:language>en</dc:language>
  <cp:keywords/>
  <dcterms:created xsi:type="dcterms:W3CDTF">2026-07-23T17:25:13Z</dcterms:created>
  <dcterms:modified xsi:type="dcterms:W3CDTF">2026-07-23T17:25:13Z</dcterms:modified>
</cp:coreProperties>
</file>

<file path=docProps/custom.xml><?xml version="1.0" encoding="utf-8"?>
<Properties xmlns="http://schemas.openxmlformats.org/officeDocument/2006/custom-properties" xmlns:vt="http://schemas.openxmlformats.org/officeDocument/2006/docPropsVTypes"/>
</file>