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w:t>
      </w:r>
      <w:r>
        <w:t xml:space="preserve"> </w:t>
      </w:r>
      <w:r>
        <w:t xml:space="preserve">Belgium</w:t>
      </w:r>
      <w:r>
        <w:t xml:space="preserve"> </w:t>
      </w:r>
      <w:r>
        <w:t xml:space="preserve">Brussels</w:t>
      </w:r>
    </w:p>
    <w:bookmarkStart w:id="27" w:name="X6bcb96e5ec4f219bd249ef24136e38af7966ad2"/>
    <w:p>
      <w:pPr>
        <w:pStyle w:val="Heading1"/>
      </w:pPr>
      <w:r>
        <w:t xml:space="preserve">Quarterly Sales Performance Report: Strategic Financial Analysis for Belgium Brussels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Global Finance Analytics Team – Brussels Office</w:t>
      </w:r>
    </w:p>
    <w:bookmarkStart w:id="20" w:name="i.-executive-summary"/>
    <w:p>
      <w:pPr>
        <w:pStyle w:val="Heading2"/>
      </w:pPr>
      <w:r>
        <w:t xml:space="preserve">I. Executive Summary</w:t>
      </w:r>
    </w:p>
    <w:p>
      <w:pPr>
        <w:pStyle w:val="FirstParagraph"/>
      </w:pPr>
      <w:r>
        <w:t xml:space="preserve">This comprehensive Sales Report details the Q3 2023 performance of our financial services division across Belgium Brussels, with particular emphasis on the strategic role of the Financial Analyst in driving data-informed decisions. The region achieved a 14.7% year-over-year revenue growth, significantly outperforming both regional benchmarks and our initial quarterly targets. This success was directly attributable to the proactive insights generated by our dedicated Financial Analyst team within Belgium Brussels operations, who identified untapped market opportunities in the EU regulatory compliance sector.</w:t>
      </w:r>
    </w:p>
    <w:bookmarkEnd w:id="20"/>
    <w:bookmarkStart w:id="21" w:name="X160c29c0f1d6f8d04f2ec60cd3daf420e96f32b"/>
    <w:p>
      <w:pPr>
        <w:pStyle w:val="Heading2"/>
      </w:pPr>
      <w:r>
        <w:t xml:space="preserve">II. Role of Financial Analyst in Belgium Brussels Market Dynamics</w:t>
      </w:r>
    </w:p>
    <w:p>
      <w:pPr>
        <w:pStyle w:val="FirstParagraph"/>
      </w:pPr>
      <w:r>
        <w:t xml:space="preserve">The position of Financial Analyst is not merely analytical but strategically pivotal within the Belgium Brussels business ecosystem. As the financial hub of the European Union, Brussels demands exceptional market acuity from all stakeholders. Our Financial Analysts operate at the intersection of complex EU regulations (including MiFID II and GDPR compliance frameworks) and dynamic client needs across banking, insurance, and corporate finance sectors. This unique context requires our Financial Analysts to possess dual expertise: advanced quantitative skills combined with nuanced understanding of Belgian fiscal policies and Brussels' geopolitical landscape.</w:t>
      </w:r>
    </w:p>
    <w:p>
      <w:pPr>
        <w:pStyle w:val="BodyText"/>
      </w:pPr>
      <w:r>
        <w:t xml:space="preserve">During Q3, the Belgium Brussels Financial Analyst team executed 127 market analysis cycles for key accounts—30% more than Q2—enabling us to anticipate regulatory shifts that impacted client portfolios. For instance, when the European Central Bank announced revised capital requirements in August, our Financial Analysts immediately modeled scenario impacts for 42 major clients, resulting in a 91% retention rate during transition periods—a metric significantly above industry average.</w:t>
      </w:r>
    </w:p>
    <w:bookmarkEnd w:id="21"/>
    <w:bookmarkStart w:id="22" w:name="X6656e4529f334c7657b3448e26a96836e694331"/>
    <w:p>
      <w:pPr>
        <w:pStyle w:val="Heading2"/>
      </w:pPr>
      <w:r>
        <w:t xml:space="preserve">III. Q3 Sales Performance: Data-Driven Breakdown</w:t>
      </w:r>
    </w:p>
    <w:p>
      <w:pPr>
        <w:pStyle w:val="FirstParagraph"/>
      </w:pPr>
      <w:r>
        <w:t xml:space="preserve">Segment</w:t>
      </w:r>
    </w:p>
    <w:p>
      <w:pPr>
        <w:pStyle w:val="BodyText"/>
      </w:pPr>
      <w:r>
        <w:t xml:space="preserve">Q3 Revenue (€)</w:t>
      </w:r>
    </w:p>
    <w:p>
      <w:pPr>
        <w:pStyle w:val="BodyText"/>
      </w:pPr>
      <w:r>
        <w:t xml:space="preserve">YoY Growth</w:t>
      </w:r>
    </w:p>
    <w:p>
      <w:pPr>
        <w:pStyle w:val="BodyText"/>
      </w:pPr>
      <w:r>
        <w:t xml:space="preserve">Market Share Change</w:t>
      </w:r>
    </w:p>
    <w:p>
      <w:pPr>
        <w:pStyle w:val="BodyText"/>
      </w:pPr>
      <w:r>
        <w:t xml:space="preserve">Corporate Banking Solutions</w:t>
      </w:r>
    </w:p>
    <w:p>
      <w:pPr>
        <w:pStyle w:val="BodyText"/>
      </w:pPr>
      <w:r>
        <w:t xml:space="preserve">4,287,000</w:t>
      </w:r>
    </w:p>
    <w:p>
      <w:pPr>
        <w:pStyle w:val="BodyText"/>
      </w:pPr>
      <w:r>
        <w:t xml:space="preserve">+19.3%</w:t>
      </w:r>
    </w:p>
    <w:p>
      <w:pPr>
        <w:pStyle w:val="BodyText"/>
      </w:pPr>
      <w:r>
        <w:t xml:space="preserve">+2.1%</w:t>
      </w:r>
    </w:p>
    <w:p>
      <w:pPr>
        <w:pStyle w:val="BodyText"/>
      </w:pPr>
      <w:r>
        <w:t xml:space="preserve">Regulatory Compliance Services</w:t>
      </w:r>
    </w:p>
    <w:p>
      <w:pPr>
        <w:pStyle w:val="BodyText"/>
      </w:pPr>
      <w:r>
        <w:t xml:space="preserve">3,652,000</w:t>
      </w:r>
    </w:p>
    <w:p>
      <w:pPr>
        <w:pStyle w:val="BodyText"/>
      </w:pPr>
      <w:r>
        <w:t xml:space="preserve">+34.8%</w:t>
      </w:r>
    </w:p>
    <w:p>
      <w:pPr>
        <w:pStyle w:val="BodyText"/>
      </w:pPr>
      <w:r>
        <w:br/>
      </w:r>
    </w:p>
    <w:p>
      <w:pPr>
        <w:pStyle w:val="BodyText"/>
      </w:pPr>
      <w:r>
        <w:t xml:space="preserve">+4.7%</w:t>
      </w:r>
    </w:p>
    <w:p>
      <w:pPr>
        <w:pStyle w:val="BodyText"/>
      </w:pPr>
      <w:r>
        <w:br/>
      </w:r>
    </w:p>
    <w:p>
      <w:pPr>
        <w:pStyle w:val="BodyText"/>
      </w:pPr>
      <w:r>
        <w:t xml:space="preserve">Private Wealth Management</w:t>
      </w:r>
    </w:p>
    <w:p>
      <w:pPr>
        <w:pStyle w:val="BodyText"/>
      </w:pPr>
      <w:r>
        <w:t xml:space="preserve">2,198,000</w:t>
      </w:r>
    </w:p>
    <w:p>
      <w:pPr>
        <w:pStyle w:val="BodyText"/>
      </w:pPr>
      <w:r>
        <w:t xml:space="preserve">+9.2%</w:t>
      </w:r>
    </w:p>
    <w:p>
      <w:pPr>
        <w:pStyle w:val="BodyText"/>
      </w:pPr>
      <w:r>
        <w:t xml:space="preserve">+1.3%</w:t>
      </w:r>
    </w:p>
    <w:p>
      <w:pPr>
        <w:pStyle w:val="BodyText"/>
      </w:pPr>
      <w:r>
        <w:t xml:space="preserve">Total</w:t>
      </w:r>
    </w:p>
    <w:p>
      <w:pPr>
        <w:pStyle w:val="BodyText"/>
      </w:pPr>
      <w:r>
        <w:t xml:space="preserve">10,137,000</w:t>
      </w:r>
    </w:p>
    <w:p>
      <w:pPr>
        <w:pStyle w:val="BodyText"/>
      </w:pPr>
      <w:r>
        <w:rPr>
          <w:iCs/>
          <w:i/>
        </w:rPr>
        <w:t xml:space="preserve">14.7% YoY</w:t>
      </w:r>
    </w:p>
    <w:p>
      <w:pPr>
        <w:pStyle w:val="BodyText"/>
      </w:pPr>
      <w:r>
        <w:rPr>
          <w:iCs/>
          <w:i/>
        </w:rPr>
        <w:t xml:space="preserve">+2.5% (vs. regional average)</w:t>
      </w:r>
    </w:p>
    <w:p>
      <w:pPr>
        <w:pStyle w:val="BodyText"/>
      </w:pPr>
      <w:r>
        <w:t xml:space="preserve">The 34.8% surge in Regulatory Compliance Services directly resulted from the Financial Analysts' predictive model identifying a 67% market gap in MiFID II-aligned solutions for Belgian financial institutions. By proactively presenting these insights through our Sales Report, the Brussels sales team secured contracts with three Tier-1 banks before competitors recognized the opportunity.</w:t>
      </w:r>
    </w:p>
    <w:bookmarkEnd w:id="22"/>
    <w:bookmarkStart w:id="23" w:name="X69e350a5a67c74190aa67fb9b729da587fbc595"/>
    <w:p>
      <w:pPr>
        <w:pStyle w:val="Heading2"/>
      </w:pPr>
      <w:r>
        <w:t xml:space="preserve">IV. Strategic Analysis by Financial Analyst Team</w:t>
      </w:r>
    </w:p>
    <w:p>
      <w:pPr>
        <w:pStyle w:val="FirstParagraph"/>
      </w:pPr>
      <w:r>
        <w:t xml:space="preserve">Our Belgium Brussels Financial Analysts implemented a groundbreaking "Dynamic Market Pulse" framework this quarter, integrating real-time data streams from:</w:t>
      </w:r>
      <w:r>
        <w:t xml:space="preserve"> </w:t>
      </w:r>
      <w:r>
        <w:t xml:space="preserve">- Belgian Federal Public Service Finance</w:t>
      </w:r>
      <w:r>
        <w:t xml:space="preserve"> </w:t>
      </w:r>
      <w:r>
        <w:t xml:space="preserve">- European Banking Authority (EBA) regulatory updates</w:t>
      </w:r>
      <w:r>
        <w:t xml:space="preserve"> </w:t>
      </w:r>
      <w:r>
        <w:t xml:space="preserve">- Local economic indicators (Belgian GDP, consumer confidence indices)</w:t>
      </w:r>
    </w:p>
    <w:p>
      <w:pPr>
        <w:pStyle w:val="BodyText"/>
      </w:pPr>
      <w:r>
        <w:t xml:space="preserve">This system enabled the Financial Analyst team to identify that 78% of our new corporate clients in Brussels prioritized "regulatory risk mitigation" as their primary purchase criterion—a metric not captured in standard sales KPIs. Consequently, we restructured our sales pitch to emphasize compliance expertise, resulting in a 22% higher conversion rate for enterprise deals.</w:t>
      </w:r>
    </w:p>
    <w:p>
      <w:pPr>
        <w:pStyle w:val="BodyText"/>
      </w:pPr>
      <w:r>
        <w:t xml:space="preserve">A critical insight emerged from analyzing seasonal patterns: Q3 historically saw a 30% drop in client onboarding due to European fiscal year-end procedures. The Financial Analyst team developed an automated "Pre-Fiscal Window" engagement protocol that moved our target acquisition cycle from July–September to May–June. This strategic shift captured €1.8M in pipeline value previously lost during the Q3 lull.</w:t>
      </w:r>
    </w:p>
    <w:bookmarkEnd w:id="23"/>
    <w:bookmarkStart w:id="24" w:name="X270f27685c2a40bb30c5fca23918dd25cad4201"/>
    <w:p>
      <w:pPr>
        <w:pStyle w:val="Heading2"/>
      </w:pPr>
      <w:r>
        <w:t xml:space="preserve">V. Challenges Specific to Belgium Brussels Operations</w:t>
      </w:r>
    </w:p>
    <w:p>
      <w:pPr>
        <w:pStyle w:val="FirstParagraph"/>
      </w:pPr>
      <w:r>
        <w:t xml:space="preserve">Operating within Belgium Brussels presents unique complexities requiring specialized Financial Analyst capabilities:</w:t>
      </w:r>
    </w:p>
    <w:p>
      <w:pPr>
        <w:numPr>
          <w:ilvl w:val="0"/>
          <w:numId w:val="1001"/>
        </w:numPr>
        <w:pStyle w:val="Compact"/>
      </w:pPr>
      <w:r>
        <w:rPr>
          <w:bCs/>
          <w:b/>
        </w:rPr>
        <w:t xml:space="preserve">Regulatory Fragmentation:</w:t>
      </w:r>
      <w:r>
        <w:t xml:space="preserve"> </w:t>
      </w:r>
      <w:r>
        <w:t xml:space="preserve">Navigating differing requirements between Flemish and Walloon regions demands localized financial modeling expertise that our Financial Analysts mastered through quarterly cross-border regulatory workshops.</w:t>
      </w:r>
    </w:p>
    <w:p>
      <w:pPr>
        <w:numPr>
          <w:ilvl w:val="0"/>
          <w:numId w:val="1001"/>
        </w:numPr>
        <w:pStyle w:val="Compact"/>
      </w:pPr>
      <w:r>
        <w:rPr>
          <w:bCs/>
          <w:b/>
        </w:rPr>
        <w:t xml:space="preserve">Currency Volatility:</w:t>
      </w:r>
      <w:r>
        <w:t xml:space="preserve"> </w:t>
      </w:r>
      <w:r>
        <w:t xml:space="preserve">The Euro's fluctuation against the US Dollar (13.2% volatility in Q3) impacted pricing strategies. Our Financial Analysts developed a dynamic pricing model reducing currency loss exposure by 18%.</w:t>
      </w:r>
    </w:p>
    <w:p>
      <w:pPr>
        <w:numPr>
          <w:ilvl w:val="0"/>
          <w:numId w:val="1001"/>
        </w:numPr>
        <w:pStyle w:val="Compact"/>
      </w:pPr>
      <w:r>
        <w:rPr>
          <w:bCs/>
          <w:b/>
        </w:rPr>
        <w:t xml:space="preserve">Language &amp; Cultural Nuances:</w:t>
      </w:r>
      <w:r>
        <w:t xml:space="preserve"> </w:t>
      </w:r>
      <w:r>
        <w:t xml:space="preserve">The dual-language (Dutch/French) business environment necessitates Financial Analysts who can interpret client sentiment from both linguistic contexts—a capability embedded in our Brussels hiring criteria since 2021.</w:t>
      </w:r>
    </w:p>
    <w:bookmarkEnd w:id="24"/>
    <w:bookmarkStart w:id="25" w:name="vi.-recommendations-for-q4-2023"/>
    <w:p>
      <w:pPr>
        <w:pStyle w:val="Heading2"/>
      </w:pPr>
      <w:r>
        <w:t xml:space="preserve">VI. Recommendations for Q4 2023</w:t>
      </w:r>
    </w:p>
    <w:p>
      <w:pPr>
        <w:pStyle w:val="FirstParagraph"/>
      </w:pPr>
      <w:r>
        <w:t xml:space="preserve">Based on the Sales Report analysis, we propose three strategic actions leveraging our Financial Analyst capabilities:</w:t>
      </w:r>
    </w:p>
    <w:p>
      <w:pPr>
        <w:numPr>
          <w:ilvl w:val="0"/>
          <w:numId w:val="1002"/>
        </w:numPr>
        <w:pStyle w:val="Compact"/>
      </w:pPr>
      <w:r>
        <w:rPr>
          <w:bCs/>
          <w:b/>
        </w:rPr>
        <w:t xml:space="preserve">Expand Brussels Regulatory Intelligence Unit:</w:t>
      </w:r>
      <w:r>
        <w:t xml:space="preserve"> </w:t>
      </w:r>
      <w:r>
        <w:t xml:space="preserve">Dedicate two additional Financial Analysts to monitor upcoming EU Green Finance regulations, projecting a €4.2M market opportunity in sustainable finance by Q2 2024.</w:t>
      </w:r>
    </w:p>
    <w:p>
      <w:pPr>
        <w:numPr>
          <w:ilvl w:val="0"/>
          <w:numId w:val="1002"/>
        </w:numPr>
        <w:pStyle w:val="Compact"/>
      </w:pPr>
      <w:r>
        <w:rPr>
          <w:bCs/>
          <w:b/>
        </w:rPr>
        <w:t xml:space="preserve">Implement AI-Powered Sales Forecasting:</w:t>
      </w:r>
      <w:r>
        <w:t xml:space="preserve"> </w:t>
      </w:r>
      <w:r>
        <w:t xml:space="preserve">Integrate our Financial Analysts' predictive models with CRM systems to reduce forecast errors by 35% (current error rate: 19.8%).</w:t>
      </w:r>
    </w:p>
    <w:p>
      <w:pPr>
        <w:numPr>
          <w:ilvl w:val="0"/>
          <w:numId w:val="1002"/>
        </w:numPr>
        <w:pStyle w:val="Compact"/>
      </w:pPr>
      <w:r>
        <w:rPr>
          <w:bCs/>
          <w:b/>
        </w:rPr>
        <w:t xml:space="preserve">Launch "Brussels Market Pulse" Quarterly Briefings:</w:t>
      </w:r>
      <w:r>
        <w:t xml:space="preserve"> </w:t>
      </w:r>
      <w:r>
        <w:t xml:space="preserve">Formalize the Financial Analyst team's insights into executive-ready Sales Report summaries distributed to all sales managers, ensuring alignment across Belgium Brussels offices.</w:t>
      </w:r>
    </w:p>
    <w:bookmarkEnd w:id="25"/>
    <w:bookmarkStart w:id="26" w:name="vii.-conclusion"/>
    <w:p>
      <w:pPr>
        <w:pStyle w:val="Heading2"/>
      </w:pPr>
      <w:r>
        <w:t xml:space="preserve">VII. Conclusion</w:t>
      </w:r>
    </w:p>
    <w:p>
      <w:pPr>
        <w:pStyle w:val="FirstParagraph"/>
      </w:pPr>
      <w:r>
        <w:t xml:space="preserve">The Q3 2023 performance underscores that our Belgium Brussels Financial Analyst team is not merely a support function but the strategic engine driving our market leadership. By transforming complex regulatory landscapes into actionable sales intelligence—evidenced in the 34.8% growth of compliance services—the Financial Analyst role has become indispensable to our regional success. This Sales Report demonstrates how data-driven financial analysis directly translates to revenue growth, client retention, and competitive differentiation in the demanding Belgium Brussels market.</w:t>
      </w:r>
    </w:p>
    <w:p>
      <w:pPr>
        <w:pStyle w:val="BodyText"/>
      </w:pPr>
      <w:r>
        <w:t xml:space="preserve">As we enter Q4, we recommend doubling down on Financial Analyst capabilities within Belgium Brussels operations. Investing in specialized regulatory training for our analysts will capture 92% of the anticipated €12.7M opportunity in EU financial services compliance by 2024, reinforcing our position as the premier strategic partner for European financial institutions based in Brussels.</w:t>
      </w:r>
    </w:p>
    <w:p>
      <w:pPr>
        <w:pStyle w:val="BodyText"/>
      </w:pPr>
      <w:r>
        <w:rPr>
          <w:iCs/>
          <w:i/>
        </w:rPr>
        <w:t xml:space="preserve">Prepared with meticulous analysis by the Belgium Brussels Financial Analyst team. All insights validated against Belgian Central Bank data and European Commission regulatory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Financial Analyst Insights - Belgium Brussels</dc:title>
  <dc:creator/>
  <dc:language>en</dc:language>
  <cp:keywords/>
  <dcterms:created xsi:type="dcterms:W3CDTF">2026-07-23T22:53:46Z</dcterms:created>
  <dcterms:modified xsi:type="dcterms:W3CDTF">2026-07-23T22:53:46Z</dcterms:modified>
</cp:coreProperties>
</file>

<file path=docProps/custom.xml><?xml version="1.0" encoding="utf-8"?>
<Properties xmlns="http://schemas.openxmlformats.org/officeDocument/2006/custom-properties" xmlns:vt="http://schemas.openxmlformats.org/officeDocument/2006/docPropsVTypes"/>
</file>