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Toronto</w:t>
      </w:r>
    </w:p>
    <w:bookmarkStart w:id="27" w:name="Xc7ec775c25e1fb1e56134c8a1820f8fe7012790"/>
    <w:p>
      <w:pPr>
        <w:pStyle w:val="Heading1"/>
      </w:pPr>
      <w:r>
        <w:t xml:space="preserve">Annual Sales Performance Report: Financial Analyst - Canada Toronto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Toronto Office</w:t>
      </w:r>
      <w:r>
        <w:br/>
      </w:r>
      <w:r>
        <w:rPr>
          <w:bCs/>
          <w:b/>
        </w:rPr>
        <w:t xml:space="preserve">Purpose:</w:t>
      </w:r>
      <w:r>
        <w:t xml:space="preserve"> </w:t>
      </w:r>
      <w:r>
        <w:t xml:space="preserve">Comprehensive analysis of sales performance and strategic insights for Financial Analyst role within Canada Toronto market</w:t>
      </w:r>
    </w:p>
    <w:bookmarkStart w:id="20" w:name="i.-executive-summary"/>
    <w:p>
      <w:pPr>
        <w:pStyle w:val="Heading2"/>
      </w:pPr>
      <w:r>
        <w:t xml:space="preserve">I. Executive Summary</w:t>
      </w:r>
    </w:p>
    <w:p>
      <w:pPr>
        <w:pStyle w:val="FirstParagraph"/>
      </w:pPr>
      <w:r>
        <w:t xml:space="preserve">This Sales Report details the performance metrics, market analysis, and strategic contributions of the Financial Analyst team in the Canada Toronto territory during Q1-Q3 2023. As a pivotal role within our Canadian operations, the Financial Analyst position directly influences revenue generation and market positioning in one of North America's most dynamic financial hubs. The report confirms that our Toronto-based Financial Analysts achieved a 15.7% year-over-year growth in client acquisition while maintaining exceptional margin stability (82.3% average) against industry benchmarks of 76.4%. These results demonstrate the critical value of specialized financial analysis within the Canada Toronto sales ecosystem.</w:t>
      </w:r>
    </w:p>
    <w:bookmarkEnd w:id="20"/>
    <w:bookmarkStart w:id="21" w:name="Xab8288f7004f4d01511d2430a004cf26b1b4dc6"/>
    <w:p>
      <w:pPr>
        <w:pStyle w:val="Heading2"/>
      </w:pPr>
      <w:r>
        <w:t xml:space="preserve">II. Market Context: Canada Toronto Financial Landscape</w:t>
      </w:r>
    </w:p>
    <w:p>
      <w:pPr>
        <w:pStyle w:val="FirstParagraph"/>
      </w:pPr>
      <w:r>
        <w:t xml:space="preserve">The Toronto market represents 34% of our total Canadian revenue, driven by its status as Canada's financial capital housing 70% of major banks and 1,300+ investment firms. In Q3 alone, the local economy grew at 2.9% (Bank of Canada), creating heightened demand for sophisticated financial services. However, this growth was accompanied by intensified competition from both domestic players and US-based fintech entrants seeking to capture Toronto's $58B annual financial advisory market. Our Financial Analysts responded by developing region-specific sales strategies that directly addressed Toronto's unique market variables including:</w:t>
      </w:r>
    </w:p>
    <w:p>
      <w:pPr>
        <w:numPr>
          <w:ilvl w:val="0"/>
          <w:numId w:val="1001"/>
        </w:numPr>
        <w:pStyle w:val="Compact"/>
      </w:pPr>
      <w:r>
        <w:t xml:space="preserve">High regulatory complexity (MiFID II alignment, OSC compliance)</w:t>
      </w:r>
    </w:p>
    <w:p>
      <w:pPr>
        <w:numPr>
          <w:ilvl w:val="0"/>
          <w:numId w:val="1001"/>
        </w:numPr>
        <w:pStyle w:val="Compact"/>
      </w:pPr>
      <w:r>
        <w:t xml:space="preserve">Client preference for hybrid digital-advisory models</w:t>
      </w:r>
    </w:p>
    <w:p>
      <w:pPr>
        <w:numPr>
          <w:ilvl w:val="0"/>
          <w:numId w:val="1001"/>
        </w:numPr>
        <w:pStyle w:val="Compact"/>
      </w:pPr>
      <w:r>
        <w:t xml:space="preserve">Toronto-specific economic drivers (real estate investment, multicultural client bases)</w:t>
      </w:r>
    </w:p>
    <w:bookmarkEnd w:id="21"/>
    <w:bookmarkStart w:id="22" w:name="X71cc3ae6c24f732c6dfa28fd6e4eefe4f917a19"/>
    <w:p>
      <w:pPr>
        <w:pStyle w:val="Heading2"/>
      </w:pPr>
      <w:r>
        <w:t xml:space="preserve">III. Sales Performance Metrics: Financial Analyst Impact</w:t>
      </w:r>
    </w:p>
    <w:p>
      <w:pPr>
        <w:pStyle w:val="FirstParagraph"/>
      </w:pPr>
      <w:r>
        <w:t xml:space="preserve">The Sales Report analysis reveals that Financial Analysts contributed to 78% of all qualified leads in Canada Toronto through data-driven sales intelligence. Key metrics include:</w:t>
      </w:r>
    </w:p>
    <w:p>
      <w:pPr>
        <w:pStyle w:val="BodyText"/>
      </w:pPr>
      <w:r>
        <w:t xml:space="preserve">Performance Metric</w:t>
      </w:r>
    </w:p>
    <w:p>
      <w:pPr>
        <w:pStyle w:val="BodyText"/>
      </w:pPr>
      <w:r>
        <w:t xml:space="preserve">2022 Actual</w:t>
      </w:r>
    </w:p>
    <w:p>
      <w:pPr>
        <w:pStyle w:val="BodyText"/>
      </w:pPr>
      <w:r>
        <w:t xml:space="preserve">2023 Target</w:t>
      </w:r>
    </w:p>
    <w:p>
      <w:pPr>
        <w:pStyle w:val="BodyText"/>
      </w:pPr>
      <w:r>
        <w:t xml:space="preserve">2023 Result</w:t>
      </w:r>
    </w:p>
    <w:p>
      <w:pPr>
        <w:pStyle w:val="BodyText"/>
      </w:pPr>
      <w:r>
        <w:t xml:space="preserve">Variance</w:t>
      </w:r>
    </w:p>
    <w:p>
      <w:pPr>
        <w:pStyle w:val="BodyText"/>
      </w:pPr>
      <w:r>
        <w:t xml:space="preserve">Sales Conversion Rate (Toronto)</w:t>
      </w:r>
    </w:p>
    <w:p>
      <w:pPr>
        <w:pStyle w:val="BodyText"/>
      </w:pPr>
      <w:r>
        <w:t xml:space="preserve">41.8%</w:t>
      </w:r>
    </w:p>
    <w:p>
      <w:pPr>
        <w:pStyle w:val="BodyText"/>
      </w:pPr>
      <w:r>
        <w:t xml:space="preserve">45.0%</w:t>
      </w:r>
    </w:p>
    <w:p>
      <w:pPr>
        <w:pStyle w:val="BodyText"/>
      </w:pPr>
      <w:r>
        <w:t xml:space="preserve">51.7%</w:t>
      </w:r>
    </w:p>
    <w:p>
      <w:pPr>
        <w:pStyle w:val="BodyText"/>
      </w:pPr>
      <w:r>
        <w:t xml:space="preserve">+6.7% YoY</w:t>
      </w:r>
    </w:p>
    <w:p>
      <w:pPr>
        <w:pStyle w:val="BodyText"/>
      </w:pPr>
      <w:r>
        <w:t xml:space="preserve">Client Acquisition Cost (CAC)</w:t>
      </w:r>
    </w:p>
    <w:p>
      <w:pPr>
        <w:pStyle w:val="BodyText"/>
      </w:pPr>
      <w:r>
        <w:t xml:space="preserve">&lt;</w:t>
      </w:r>
    </w:p>
    <w:p>
      <w:pPr>
        <w:pStyle w:val="BodyText"/>
      </w:pPr>
      <w:r>
        <w:t xml:space="preserve">$2,350</w:t>
      </w:r>
    </w:p>
    <w:p>
      <w:pPr>
        <w:pStyle w:val="BodyText"/>
      </w:pPr>
      <w:r>
        <w:t xml:space="preserve">Average Deal Size (Toronto)</w:t>
      </w:r>
    </w:p>
    <w:p>
      <w:pPr>
        <w:pStyle w:val="BodyText"/>
      </w:pPr>
      <w:r>
        <w:t xml:space="preserve">$84,200</w:t>
      </w:r>
    </w:p>
    <w:p>
      <w:pPr>
        <w:pStyle w:val="BodyText"/>
      </w:pPr>
      <w:r>
        <w:t xml:space="preserve">Notably, Financial Analysts reduced sales cycle time by 32% through predictive analytics of Toronto market trends. For instance, their analysis of the 2023 Q1 real estate investment surge led to a targeted client outreach campaign that generated $6.8M in new business within two months – a record for our Canadian operations.</w:t>
      </w:r>
    </w:p>
    <w:bookmarkEnd w:id="22"/>
    <w:bookmarkStart w:id="23" w:name="X624b79e7461d8ac8ee9482bbb94483ef171d537"/>
    <w:p>
      <w:pPr>
        <w:pStyle w:val="Heading2"/>
      </w:pPr>
      <w:r>
        <w:t xml:space="preserve">IV. Toronto-Specific Strategic Initiatives</w:t>
      </w:r>
    </w:p>
    <w:p>
      <w:pPr>
        <w:pStyle w:val="FirstParagraph"/>
      </w:pPr>
      <w:r>
        <w:t xml:space="preserve">Our Financial Analysts implemented three market-specific initiatives that delivered exceptional results in Canada Toronto:</w:t>
      </w:r>
    </w:p>
    <w:p>
      <w:pPr>
        <w:numPr>
          <w:ilvl w:val="0"/>
          <w:numId w:val="1002"/>
        </w:numPr>
        <w:pStyle w:val="Compact"/>
      </w:pPr>
      <w:r>
        <w:rPr>
          <w:bCs/>
          <w:b/>
        </w:rPr>
        <w:t xml:space="preserve">Cultural Intelligence Integration:</w:t>
      </w:r>
      <w:r>
        <w:t xml:space="preserve"> </w:t>
      </w:r>
      <w:r>
        <w:t xml:space="preserve">Analyzed demographic data to create tailored sales pitches for Toronto's multicultural client base (36% visible minority population). This resulted in a 24% increase in closing deals with South Asian and Chinese-Canadian high-net-worth clients.</w:t>
      </w:r>
    </w:p>
    <w:p>
      <w:pPr>
        <w:numPr>
          <w:ilvl w:val="0"/>
          <w:numId w:val="1002"/>
        </w:numPr>
        <w:pStyle w:val="Compact"/>
      </w:pPr>
      <w:r>
        <w:rPr>
          <w:bCs/>
          <w:b/>
        </w:rPr>
        <w:t xml:space="preserve">Regulatory Navigation Framework:</w:t>
      </w:r>
      <w:r>
        <w:t xml:space="preserve"> </w:t>
      </w:r>
      <w:r>
        <w:t xml:space="preserve">Developed a compliance-focused sales playbook addressing OSC Rule 31.12 requirements specific to Toronto's brokerage landscape. This reduced onboarding friction by 40% and accelerated client conversion rates for complex products.</w:t>
      </w:r>
    </w:p>
    <w:p>
      <w:pPr>
        <w:numPr>
          <w:ilvl w:val="0"/>
          <w:numId w:val="1002"/>
        </w:numPr>
        <w:pStyle w:val="Compact"/>
      </w:pPr>
      <w:r>
        <w:rPr>
          <w:bCs/>
          <w:b/>
        </w:rPr>
        <w:t xml:space="preserve">Real-Time Market Pulse Dashboard:</w:t>
      </w:r>
      <w:r>
        <w:t xml:space="preserve"> </w:t>
      </w:r>
      <w:r>
        <w:t xml:space="preserve">Created an internal Toronto market tracker showing live indicators (housing starts, interest rate movements, sector performance). Sales teams using this tool achieved 37% higher forecast accuracy and closed 22% more deals during volatile market periods.</w:t>
      </w:r>
    </w:p>
    <w:bookmarkEnd w:id="23"/>
    <w:bookmarkStart w:id="24" w:name="v.-challenges-in-canada-toronto-market"/>
    <w:p>
      <w:pPr>
        <w:pStyle w:val="Heading2"/>
      </w:pPr>
      <w:r>
        <w:t xml:space="preserve">V. Challenges in Canada Toronto Market</w:t>
      </w:r>
    </w:p>
    <w:p>
      <w:pPr>
        <w:pStyle w:val="FirstParagraph"/>
      </w:pPr>
      <w:r>
        <w:t xml:space="preserve">The Financial Analyst team identified three critical challenges requiring strategic intervention:</w:t>
      </w:r>
    </w:p>
    <w:p>
      <w:pPr>
        <w:numPr>
          <w:ilvl w:val="0"/>
          <w:numId w:val="1003"/>
        </w:numPr>
        <w:pStyle w:val="Compact"/>
      </w:pPr>
      <w:r>
        <w:rPr>
          <w:bCs/>
          <w:b/>
        </w:rPr>
        <w:t xml:space="preserve">Regulatory Overload:</w:t>
      </w:r>
      <w:r>
        <w:t xml:space="preserve"> </w:t>
      </w:r>
      <w:r>
        <w:t xml:space="preserve">87% of Toronto sales staff reported regulatory compliance as a top barrier. The Financial Analyst team responded by creating a centralized "Toronto Compliance Compass" – an AI-powered tool that auto-generates client-specific documentation, reducing administrative burden by 55%.</w:t>
      </w:r>
    </w:p>
    <w:p>
      <w:pPr>
        <w:numPr>
          <w:ilvl w:val="0"/>
          <w:numId w:val="1003"/>
        </w:numPr>
        <w:pStyle w:val="Compact"/>
      </w:pPr>
      <w:r>
        <w:rPr>
          <w:bCs/>
          <w:b/>
        </w:rPr>
        <w:t xml:space="preserve">Talent Competition:</w:t>
      </w:r>
      <w:r>
        <w:t xml:space="preserve"> </w:t>
      </w:r>
      <w:r>
        <w:t xml:space="preserve">Toronto's talent market shows 23% higher compensation demands for financial roles. Our Financial Analysts conducted competitive salary benchmarking that informed a revised compensation structure retaining top performers while maintaining 19% below industry average cost per hire.</w:t>
      </w:r>
    </w:p>
    <w:p>
      <w:pPr>
        <w:numPr>
          <w:ilvl w:val="0"/>
          <w:numId w:val="1003"/>
        </w:numPr>
        <w:pStyle w:val="Compact"/>
      </w:pPr>
      <w:r>
        <w:rPr>
          <w:bCs/>
          <w:b/>
        </w:rPr>
        <w:t xml:space="preserve">Client Expectation Shift:</w:t>
      </w:r>
      <w:r>
        <w:t xml:space="preserve"> </w:t>
      </w:r>
      <w:r>
        <w:t xml:space="preserve">68% of Toronto clients now demand real-time portfolio analytics during sales cycles (up from 42% in 2021). The Financial Analyst team developed a proprietary "Dynamic Portfolio Simulator" that increased client engagement by 53% and shortened decision cycles by an average of 9.7 days.</w:t>
      </w:r>
    </w:p>
    <w:bookmarkEnd w:id="24"/>
    <w:bookmarkStart w:id="25" w:name="Xdcd4de5e2db688ffdafb980f33cedb75f6256e9"/>
    <w:p>
      <w:pPr>
        <w:pStyle w:val="Heading2"/>
      </w:pPr>
      <w:r>
        <w:t xml:space="preserve">VI. Future Strategy: Optimizing Sales Performance in Canada Toronto</w:t>
      </w:r>
    </w:p>
    <w:p>
      <w:pPr>
        <w:pStyle w:val="FirstParagraph"/>
      </w:pPr>
      <w:r>
        <w:t xml:space="preserve">Based on this Sales Report, our Financial Analyst team proposes the following Toronto-focused initiatives for 2024:</w:t>
      </w:r>
    </w:p>
    <w:p>
      <w:pPr>
        <w:numPr>
          <w:ilvl w:val="0"/>
          <w:numId w:val="1004"/>
        </w:numPr>
        <w:pStyle w:val="Compact"/>
      </w:pPr>
      <w:r>
        <w:rPr>
          <w:bCs/>
          <w:b/>
        </w:rPr>
        <w:t xml:space="preserve">Hyper-Localized Market Intelligence Hub:</w:t>
      </w:r>
      <w:r>
        <w:t xml:space="preserve"> </w:t>
      </w:r>
      <w:r>
        <w:t xml:space="preserve">Establish a dedicated Toronto office analytics center using AI to process local economic data streams (property assessments, municipal budgets) for real-time sales insights. Projected impact: 18% higher win rate in Q4 2024.</w:t>
      </w:r>
    </w:p>
    <w:p>
      <w:pPr>
        <w:numPr>
          <w:ilvl w:val="0"/>
          <w:numId w:val="1004"/>
        </w:numPr>
        <w:pStyle w:val="Compact"/>
      </w:pPr>
      <w:r>
        <w:rPr>
          <w:bCs/>
          <w:b/>
        </w:rPr>
        <w:t xml:space="preserve">Regulatory Innovation Task Force:</w:t>
      </w:r>
      <w:r>
        <w:t xml:space="preserve"> </w:t>
      </w:r>
      <w:r>
        <w:t xml:space="preserve">Partner with OSC for exclusive Toronto regulatory workshops. This will position us as industry thought leaders and reduce compliance-related sales delays by an estimated 35%.</w:t>
      </w:r>
    </w:p>
    <w:p>
      <w:pPr>
        <w:numPr>
          <w:ilvl w:val="0"/>
          <w:numId w:val="1004"/>
        </w:numPr>
        <w:pStyle w:val="Compact"/>
      </w:pPr>
      <w:r>
        <w:rPr>
          <w:bCs/>
          <w:b/>
        </w:rPr>
        <w:t xml:space="preserve">Cross-Sector Sales Acceleration:</w:t>
      </w:r>
      <w:r>
        <w:t xml:space="preserve"> </w:t>
      </w:r>
      <w:r>
        <w:t xml:space="preserve">Leverage Toronto's unique intersection of finance and tech (e.g., Fintech Week events) to develop integrated sales solutions. Pilot program targeting AI-driven clients has already generated $1.2M in pre-sales pipeline.</w:t>
      </w:r>
    </w:p>
    <w:bookmarkEnd w:id="25"/>
    <w:bookmarkStart w:id="26" w:name="vii.-conclusion"/>
    <w:p>
      <w:pPr>
        <w:pStyle w:val="Heading2"/>
      </w:pPr>
      <w:r>
        <w:t xml:space="preserve">VII. Conclusion</w:t>
      </w:r>
    </w:p>
    <w:p>
      <w:pPr>
        <w:pStyle w:val="FirstParagraph"/>
      </w:pPr>
      <w:r>
        <w:t xml:space="preserve">This comprehensive Sales Report underscores the indispensable role of Financial Analysts in driving Toronto's success within Canada's financial services market. The data unequivocally demonstrates that our Toronto-based Financial Analyst team has not only met but exceeded strategic objectives, transforming complex market dynamics into actionable revenue opportunities. By maintaining rigorous focus on Canada Toronto-specific variables – from regulatory nuances to cultural preferences – our Financial Analysts have positioned us as the market leader in this critical territory.</w:t>
      </w:r>
    </w:p>
    <w:p>
      <w:pPr>
        <w:pStyle w:val="BodyText"/>
      </w:pPr>
      <w:r>
        <w:t xml:space="preserve">As we move toward 2024, continued investment in the Financial Analyst role will be paramount to capturing Toronto's projected $72B market growth (CIBC Global Markets). The insights generated through our Sales Report confirm that strategic financial analysis directly correlates with competitive advantage in this high-stakes Canadian market. We recommend increasing Financial Analyst headcount by 15% for Toronto operations to sustain our momentum and capitalize on emerging opportunities.</w:t>
      </w:r>
    </w:p>
    <w:p>
      <w:pPr>
        <w:pStyle w:val="BodyText"/>
      </w:pPr>
      <w:r>
        <w:rPr>
          <w:bCs/>
          <w:b/>
        </w:rPr>
        <w:t xml:space="preserve">Prepared By:</w:t>
      </w:r>
      <w:r>
        <w:t xml:space="preserve"> </w:t>
      </w:r>
      <w:r>
        <w:t xml:space="preserve">Maria Chen, Senior Financial Analyst</w:t>
      </w:r>
      <w:r>
        <w:br/>
      </w:r>
      <w:r>
        <w:rPr>
          <w:bCs/>
          <w:b/>
        </w:rPr>
        <w:t xml:space="preserve">Department:</w:t>
      </w:r>
      <w:r>
        <w:t xml:space="preserve"> </w:t>
      </w:r>
      <w:r>
        <w:t xml:space="preserve">Strategic Sales Intelligence, Canada Toronto Office</w:t>
      </w:r>
      <w:r>
        <w:br/>
      </w:r>
      <w:r>
        <w:rPr>
          <w:bCs/>
          <w:b/>
        </w:rPr>
        <w:t xml:space="preserve">Contact:</w:t>
      </w:r>
      <w:r>
        <w:t xml:space="preserve"> </w:t>
      </w:r>
      <w:r>
        <w:t xml:space="preserve">m.chen@finanalyst.ca | +1 (416) 555-0198</w:t>
      </w:r>
    </w:p>
    <w:p>
      <w:pPr>
        <w:pStyle w:val="BodyText"/>
      </w:pPr>
      <w:r>
        <w:rPr>
          <w:iCs/>
          <w:i/>
        </w:rPr>
        <w:t xml:space="preserve">This document constitutes the official Sales Report for Financial Analyst performance metrics in Canada Toronto. All data verified through internal CRM (Salesforce) and external sources: Statistics Canada, Bank of Canada, OSC.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Financial Analyst - Canada Toronto</dc:title>
  <dc:creator/>
  <dc:language>en</dc:language>
  <cp:keywords/>
  <dcterms:created xsi:type="dcterms:W3CDTF">2026-07-21T08:14:43Z</dcterms:created>
  <dcterms:modified xsi:type="dcterms:W3CDTF">2026-07-21T08:14:43Z</dcterms:modified>
</cp:coreProperties>
</file>

<file path=docProps/custom.xml><?xml version="1.0" encoding="utf-8"?>
<Properties xmlns="http://schemas.openxmlformats.org/officeDocument/2006/custom-properties" xmlns:vt="http://schemas.openxmlformats.org/officeDocument/2006/docPropsVTypes"/>
</file>