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p>
    <w:bookmarkStart w:id="27" w:name="X9038d800ca1754294e69c2f3c4b204f60c9a04a"/>
    <w:p>
      <w:pPr>
        <w:pStyle w:val="Heading1"/>
      </w:pPr>
      <w:r>
        <w:t xml:space="preserve">Quarterly Sales Performance &amp; Financial Analysis Report: Canada Vancouver Market</w:t>
      </w:r>
    </w:p>
    <w:bookmarkStart w:id="20" w:name="executive-summary"/>
    <w:p>
      <w:pPr>
        <w:pStyle w:val="Heading2"/>
      </w:pPr>
      <w:r>
        <w:t xml:space="preserve">Executive Summary</w:t>
      </w:r>
    </w:p>
    <w:p>
      <w:pPr>
        <w:pStyle w:val="FirstParagraph"/>
      </w:pPr>
      <w:r>
        <w:t xml:space="preserve">This comprehensive sales report details the financial performance, market dynamics, and strategic insights for our Financial Analyst team operating within the Canada Vancouver business unit. As a critical component of our North American revenue engine, this document underscores how data-driven financial analysis directly impacts sales outcomes in one of Canada's most competitive metropolitan markets. The quarter ended September 30, 2023, reflects robust growth in client acquisition and retention metrics, with the Financial Analyst team playing an indispensable role in transforming raw sales data into actionable business intelligence for Vancouver-based operations.</w:t>
      </w:r>
    </w:p>
    <w:bookmarkEnd w:id="20"/>
    <w:bookmarkStart w:id="21" w:name="Xfd3cb3a41fb4eb9991117963116be1c36dcfe7a"/>
    <w:p>
      <w:pPr>
        <w:pStyle w:val="Heading2"/>
      </w:pPr>
      <w:r>
        <w:t xml:space="preserve">Role Significance: The Vancouver Financial Analyst Imperative</w:t>
      </w:r>
    </w:p>
    <w:p>
      <w:pPr>
        <w:pStyle w:val="FirstParagraph"/>
      </w:pPr>
      <w:r>
        <w:t xml:space="preserve">In the context of Canada's dynamic economic landscape, our Financial Analyst position in Vancouver serves as a strategic cornerstone. Unlike generic finance roles, this position is uniquely tailored to dissect the complexities of the British Columbia market—where real estate volatility, tech sector innovation, and tourism fluctuations significantly impact client revenue streams. Our Vancouver Financial Analysts don’t merely track numbers; they interpret local economic signals (e.g., BC Housing Market Index shifts, provincial tax policy changes) to forecast sales potential. For instance, during Q3 2023’s residential market dip, our team identified an 11% uptick in commercial real estate inquiries within two weeks of analyzing municipal data—a proactive insight directly feeding into targeted sales campaigns that secured $2.4M in new contracts.</w:t>
      </w:r>
    </w:p>
    <w:bookmarkEnd w:id="21"/>
    <w:bookmarkStart w:id="22" w:name="key-performance-indicators-kpis-analysis"/>
    <w:p>
      <w:pPr>
        <w:pStyle w:val="Heading2"/>
      </w:pPr>
      <w:r>
        <w:t xml:space="preserve">Key Performance Indicators (KPIs) Analysis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Vancouver Achievement %</w:t>
      </w:r>
    </w:p>
    <w:p>
      <w:pPr>
        <w:pStyle w:val="BodyText"/>
      </w:pPr>
      <w:r>
        <w:t xml:space="preserve">Sales Growth YoY (Vancouver)</w:t>
      </w:r>
    </w:p>
    <w:p>
      <w:pPr>
        <w:pStyle w:val="BodyText"/>
      </w:pPr>
      <w:r>
        <w:t xml:space="preserve">15%</w:t>
      </w:r>
    </w:p>
    <w:p>
      <w:pPr>
        <w:pStyle w:val="BodyText"/>
      </w:pPr>
      <w:r>
        <w:t xml:space="preserve">18.7%</w:t>
      </w:r>
    </w:p>
    <w:p>
      <w:pPr>
        <w:pStyle w:val="BodyText"/>
      </w:pPr>
      <w:r>
        <w:t xml:space="preserve">+3.7 pts</w:t>
      </w:r>
    </w:p>
    <w:p>
      <w:pPr>
        <w:pStyle w:val="BodyText"/>
      </w:pPr>
      <w:r>
        <w:t xml:space="preserve">Client Retention Rate</w:t>
      </w:r>
    </w:p>
    <w:p>
      <w:pPr>
        <w:pStyle w:val="BodyText"/>
      </w:pPr>
      <w:r>
        <w:t xml:space="preserve">88%</w:t>
      </w:r>
    </w:p>
    <w:p>
      <w:pPr>
        <w:pStyle w:val="BodyText"/>
      </w:pPr>
      <w:r>
        <w:t xml:space="preserve">&lt;</w:t>
      </w:r>
    </w:p>
    <w:p>
      <w:pPr>
        <w:pStyle w:val="BodyText"/>
      </w:pPr>
      <w:r>
        <w:t xml:space="preserve">92.4%</w:t>
      </w:r>
    </w:p>
    <w:p>
      <w:pPr>
        <w:pStyle w:val="BodyText"/>
      </w:pPr>
      <w:hyperlink w:anchor="salesreport">
        <w:r>
          <w:rPr>
            <w:rStyle w:val="Hyperlink"/>
          </w:rPr>
          <w:t xml:space="preserve">Sales Report Accuracy (Monthly)</w:t>
        </w:r>
      </w:hyperlink>
    </w:p>
    <w:p>
      <w:pPr>
        <w:pStyle w:val="BodyText"/>
      </w:pPr>
      <w:r>
        <w:t xml:space="preserve">-</w:t>
      </w:r>
    </w:p>
    <w:p>
      <w:pPr>
        <w:pStyle w:val="BodyText"/>
      </w:pPr>
      <w:r>
        <w:t xml:space="preserve">99.2%</w:t>
      </w:r>
    </w:p>
    <w:p>
      <w:pPr>
        <w:pStyle w:val="BodyText"/>
      </w:pPr>
      <w:r>
        <w:t xml:space="preserve">New Enterprise Acquisition Cost</w:t>
      </w:r>
    </w:p>
    <w:p>
      <w:pPr>
        <w:pStyle w:val="BodyText"/>
      </w:pPr>
      <w:r>
        <w:t xml:space="preserve">$8,500</w:t>
      </w:r>
    </w:p>
    <w:p>
      <w:pPr>
        <w:pStyle w:val="BodyText"/>
      </w:pPr>
      <w:r>
        <w:t xml:space="preserve">$7,620</w:t>
      </w:r>
    </w:p>
    <w:p>
      <w:pPr>
        <w:pStyle w:val="BodyText"/>
      </w:pPr>
      <w:r>
        <w:t xml:space="preserve">-10.3%</w:t>
      </w:r>
    </w:p>
    <w:p>
      <w:pPr>
        <w:pStyle w:val="BodyText"/>
      </w:pPr>
      <w:r>
        <w:t xml:space="preserve">The</w:t>
      </w:r>
      <w:r>
        <w:t xml:space="preserve"> </w:t>
      </w:r>
      <w:r>
        <w:rPr>
          <w:bCs/>
          <w:b/>
        </w:rPr>
        <w:t xml:space="preserve">Financial Analyst</w:t>
      </w:r>
      <w:r>
        <w:t xml:space="preserve"> </w:t>
      </w:r>
      <w:r>
        <w:t xml:space="preserve">team’s precision in compiling the monthly sales report was instrumental in driving these results. By integrating Salesforce data with Canada Revenue Agency (CRA) tax filings and local economic indicators (e.g., Vancouver’s 6.2% Q3 job growth), they reduced forecast errors by 27% versus prior year. This accuracy directly enabled our sales team to prioritize high-potential sectors—like sustainable tech startups in Yaletown and luxury hospitality firms in Downtown Vancouver—resulting in a 31% increase in qualified leads from these segments.</w:t>
      </w:r>
    </w:p>
    <w:bookmarkEnd w:id="22"/>
    <w:bookmarkStart w:id="23" w:name="X890bb16b5e318b80a6b8f5cb1a07c68642b08cf"/>
    <w:p>
      <w:pPr>
        <w:pStyle w:val="Heading2"/>
      </w:pPr>
      <w:r>
        <w:t xml:space="preserve">Vancouver-Specific Market Dynamics &amp; Strategic Insights</w:t>
      </w:r>
    </w:p>
    <w:p>
      <w:pPr>
        <w:pStyle w:val="FirstParagraph"/>
      </w:pPr>
      <w:r>
        <w:t xml:space="preserve">Operating within Canada Vancouver demands nuanced understanding beyond textbook finance. Our Financial Analysts leveraged hyper-local intelligence to navigate three pivotal market shifts:</w:t>
      </w:r>
    </w:p>
    <w:p>
      <w:pPr>
        <w:numPr>
          <w:ilvl w:val="0"/>
          <w:numId w:val="1001"/>
        </w:numPr>
        <w:pStyle w:val="Compact"/>
      </w:pPr>
      <w:r>
        <w:rPr>
          <w:bCs/>
          <w:b/>
        </w:rPr>
        <w:t xml:space="preserve">Real Estate Cross-Selling:</w:t>
      </w:r>
      <w:r>
        <w:t xml:space="preserve"> </w:t>
      </w:r>
      <w:r>
        <w:t xml:space="preserve">After analyzing BC’s new land transfer tax adjustments, the team developed a targeted pricing model for real estate agencies. This resulted in a 22% sales uplift in our commercial property analytics suite within Vancouver.</w:t>
      </w:r>
    </w:p>
    <w:p>
      <w:pPr>
        <w:numPr>
          <w:ilvl w:val="0"/>
          <w:numId w:val="1001"/>
        </w:numPr>
        <w:pStyle w:val="Compact"/>
      </w:pPr>
      <w:r>
        <w:rPr>
          <w:bCs/>
          <w:b/>
        </w:rPr>
        <w:t xml:space="preserve">Tourism Sector Resilience:</w:t>
      </w:r>
      <w:r>
        <w:t xml:space="preserve"> </w:t>
      </w:r>
      <w:r>
        <w:t xml:space="preserve">During post-pandemic recovery peaks, Financial Analysts identified that tourism businesses required flexible SaaS packages. Their insight drove a tailored product bundle that captured 17% of new clients in Vancouver’s hospitality sector.</w:t>
      </w:r>
    </w:p>
    <w:p>
      <w:pPr>
        <w:numPr>
          <w:ilvl w:val="0"/>
          <w:numId w:val="1001"/>
        </w:numPr>
        <w:pStyle w:val="Compact"/>
      </w:pPr>
      <w:r>
        <w:rPr>
          <w:bCs/>
          <w:b/>
        </w:rPr>
        <w:t xml:space="preserve">Compliance Alignment:</w:t>
      </w:r>
      <w:r>
        <w:t xml:space="preserve"> </w:t>
      </w:r>
      <w:r>
        <w:t xml:space="preserve">With Canada’s updated Anti-Money Laundering (AML) regulations, our Vancouver Financial Analysts mapped compliance requirements to sales pipelines, reducing client onboarding time by 35%—a key differentiator against competitors lacking local regulatory expertise.</w:t>
      </w:r>
    </w:p>
    <w:bookmarkEnd w:id="23"/>
    <w:bookmarkStart w:id="24" w:name="X3660ecd1dae02a80910ee71fdfceba5554f56ec"/>
    <w:p>
      <w:pPr>
        <w:pStyle w:val="Heading2"/>
      </w:pPr>
      <w:r>
        <w:t xml:space="preserve">Sales Report as a Strategic Tool in Canada Vancouver</w:t>
      </w:r>
    </w:p>
    <w:p>
      <w:pPr>
        <w:pStyle w:val="FirstParagraph"/>
      </w:pPr>
      <w:r>
        <w:t xml:space="preserve">The monthly</w:t>
      </w:r>
      <w:r>
        <w:t xml:space="preserve"> </w:t>
      </w:r>
      <w:r>
        <w:rPr>
          <w:bCs/>
          <w:b/>
        </w:rPr>
        <w:t xml:space="preserve">Sales Report</w:t>
      </w:r>
      <w:r>
        <w:t xml:space="preserve"> </w:t>
      </w:r>
      <w:r>
        <w:t xml:space="preserve">generated by our Financial Analysts is not a retrospective document—it’s an active sales catalyst. In Vancouver, where client expectations are exceptionally high (e.g., demand for real-time data dashboards), these reports now include:</w:t>
      </w:r>
    </w:p>
    <w:p>
      <w:pPr>
        <w:numPr>
          <w:ilvl w:val="0"/>
          <w:numId w:val="1002"/>
        </w:numPr>
        <w:pStyle w:val="Compact"/>
      </w:pPr>
      <w:r>
        <w:t xml:space="preserve">Geospatial sales heatmaps showing client concentration in areas like Gastown vs. Surrey</w:t>
      </w:r>
    </w:p>
    <w:p>
      <w:pPr>
        <w:numPr>
          <w:ilvl w:val="0"/>
          <w:numId w:val="1002"/>
        </w:numPr>
        <w:pStyle w:val="Compact"/>
      </w:pPr>
      <w:r>
        <w:t xml:space="preserve">Cost-benefit projections aligned with Vancouver’s 2023 business tax incentives</w:t>
      </w:r>
    </w:p>
    <w:p>
      <w:pPr>
        <w:numPr>
          <w:ilvl w:val="0"/>
          <w:numId w:val="1002"/>
        </w:numPr>
        <w:pStyle w:val="Compact"/>
      </w:pPr>
      <w:r>
        <w:t xml:space="preserve">Risk assessments for local economic triggers (e.g., impact of port labor disputes on logistics clients)</w:t>
      </w:r>
    </w:p>
    <w:p>
      <w:pPr>
        <w:pStyle w:val="FirstParagraph"/>
      </w:pPr>
      <w:r>
        <w:t xml:space="preserve">This contextualization transformed the report from an internal tool into a client-facing asset. For example, when presenting to a Vancouver-based biotech firm, our Financial Analyst used localized data showing how similar companies leveraged our analytics to reduce operational costs by 19%—a key factor in closing a $450K deal.</w:t>
      </w:r>
    </w:p>
    <w:bookmarkEnd w:id="24"/>
    <w:bookmarkStart w:id="25" w:name="X6fb337b8d381adc8ecc9ffcdffe080dc2bbf10f"/>
    <w:p>
      <w:pPr>
        <w:pStyle w:val="Heading2"/>
      </w:pPr>
      <w:r>
        <w:t xml:space="preserve">Talent &amp; Operational Excellence in Canada Vancouver</w:t>
      </w:r>
    </w:p>
    <w:p>
      <w:pPr>
        <w:pStyle w:val="FirstParagraph"/>
      </w:pPr>
      <w:r>
        <w:t xml:space="preserve">Our success hinges on recruiting and retaining top-tier Financial Analysts who understand Vancouver’s unique business ecosystem. The role demands fluency in Canadian financial frameworks (e.g., IFRS vs. GAAP, PST/GST implications) and familiarity with local market nuances—such as how Vancouver’s housing costs influence B2B budget cycles. In Q3 2023, we hired three Financial Analysts with backgrounds in BC-based firms (including a former Deloitte Vancouver consultant), accelerating our team’s market acumen by 40%. This investment directly supported a 25% reduction in sales cycle duration for new enterprise clients in Canada Vancouver.</w:t>
      </w:r>
    </w:p>
    <w:bookmarkEnd w:id="25"/>
    <w:bookmarkStart w:id="26" w:name="Xb9f10cd4dd76cdeacd0199f6059c1092391f828"/>
    <w:p>
      <w:pPr>
        <w:pStyle w:val="Heading2"/>
      </w:pPr>
      <w:r>
        <w:t xml:space="preserve">Conclusion: The Financial Analyst Advantage</w:t>
      </w:r>
    </w:p>
    <w:p>
      <w:pPr>
        <w:pStyle w:val="FirstParagraph"/>
      </w:pPr>
      <w:r>
        <w:t xml:space="preserve">In the competitive Canadian marketplace, especially within Vancouver’s high-value industries (tech, real estate, green energy), the role of Financial Analyst is no longer supportive—it’s strategic. This Sales Report demonstrates how our dedicated team in Canada Vancouver transforms financial data into measurable sales growth. By embedding local expertise into every sales report and analysis cycle, we’ve not only exceeded quarterly targets but also positioned ourselves as the region’s most trusted finance-driven sales partner.</w:t>
      </w:r>
    </w:p>
    <w:p>
      <w:pPr>
        <w:pStyle w:val="BodyText"/>
      </w:pPr>
      <w:r>
        <w:t xml:space="preserve">Looking ahead, we will deepen integration between Financial Analyst insights and sales strategy—such as real-time alerting for Vancouver-specific opportunities (e.g., when a major tech firm announces expansion). As Canada Vancouver continues to evolve, our Financial Analysts will remain the critical link between data and revenue growth. This isn’t just a Sales Report; it’s proof that in the right Canadian market, financial acumen fuels exceptional sales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Canada Vancouver</dc:title>
  <dc:creator/>
  <cp:keywords/>
  <dcterms:created xsi:type="dcterms:W3CDTF">2026-07-23T04:02:43Z</dcterms:created>
  <dcterms:modified xsi:type="dcterms:W3CDTF">2026-07-23T04:02:43Z</dcterms:modified>
</cp:coreProperties>
</file>

<file path=docProps/custom.xml><?xml version="1.0" encoding="utf-8"?>
<Properties xmlns="http://schemas.openxmlformats.org/officeDocument/2006/custom-properties" xmlns:vt="http://schemas.openxmlformats.org/officeDocument/2006/docPropsVTypes"/>
</file>