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p>
    <w:bookmarkStart w:id="28" w:name="X0c23e5d240d7cab50705808fe237f3e4d27833c"/>
    <w:p>
      <w:pPr>
        <w:pStyle w:val="Heading1"/>
      </w:pPr>
      <w:r>
        <w:t xml:space="preserve">Comprehensive Sales Performance and Financial Analysis Report: Chile Santiago Market (Q3 2023)</w:t>
      </w:r>
    </w:p>
    <w:bookmarkStart w:id="27" w:name="X0978abbec136251b3897c210bb852c89aa66338"/>
    <w:p>
      <w:pPr>
        <w:pStyle w:val="Heading2"/>
      </w:pPr>
      <w:r>
        <w:t xml:space="preserve">Prepared For: Executive Leadership &amp; Strategic Planning Committee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Global Financial Analysis Team |</w:t>
      </w:r>
      <w:r>
        <w:t xml:space="preserve"> </w:t>
      </w:r>
      <w:r>
        <w:rPr>
          <w:bCs/>
          <w:b/>
        </w:rPr>
        <w:t xml:space="preserve">Location:</w:t>
      </w:r>
      <w:r>
        <w:t xml:space="preserve"> </w:t>
      </w:r>
      <w:r>
        <w:t xml:space="preserve">Santiago de Chile</w:t>
      </w:r>
    </w:p>
    <w:bookmarkStart w:id="20" w:name="i.-executive-summary"/>
    <w:p>
      <w:pPr>
        <w:pStyle w:val="Heading3"/>
      </w:pPr>
      <w:r>
        <w:t xml:space="preserve">I. Executive Summary</w:t>
      </w:r>
    </w:p>
    <w:p>
      <w:pPr>
        <w:pStyle w:val="FirstParagraph"/>
      </w:pPr>
      <w:r>
        <w:t xml:space="preserve">This Sales Report presents a detailed financial analysis of our Q3 performance in the Chile Santiago market, highlighting critical sales trends, profitability metrics, and strategic recommendations. As the Financial Analyst for Latin America operations, my role centered on transforming raw sales data into actionable insights that directly influence regional decision-making. Santiago's dynamic economic landscape—marked by robust consumer spending (2.8% GDP growth) and competitive B2B markets—demanded precise financial modeling to navigate inflationary pressures (7.5% YoY) and currency volatility (CLP/USD depreciation of 12%). This report confirms our Santiago division delivered 14.7% revenue growth YoY, exceeding regional targets by 3.2%, with strong performance in technology solutions (28% margin) and sustainable consumer goods (31% margin). Crucially, our Financial Analyst team identified emerging opportunities in the healthcare sector that contributed to a 9.3% sales uplift during Q3.</w:t>
      </w:r>
    </w:p>
    <w:bookmarkEnd w:id="20"/>
    <w:bookmarkStart w:id="21" w:name="X8d8d99978e2ccac74b4a2481d96f7c88af4559b"/>
    <w:p>
      <w:pPr>
        <w:pStyle w:val="Heading3"/>
      </w:pPr>
      <w:r>
        <w:t xml:space="preserve">II. Santiago Market Context &amp; Economic Environment</w:t>
      </w:r>
    </w:p>
    <w:p>
      <w:pPr>
        <w:pStyle w:val="FirstParagraph"/>
      </w:pPr>
      <w:r>
        <w:t xml:space="preserve">Chile Santiago operates within a unique economic ecosystem requiring specialized financial analysis. The city represents 45% of Chile's GDP and hosts 80% of multinational corporate HQs in the country. Current challenges include: (1) Rising operational costs due to energy inflation (22% YoY), (2) Regulatory shifts in data privacy laws affecting sales reporting protocols, and (3) Increased competition from local fintechs disrupting traditional B2B sales cycles. As the Financial Analyst embedded within Santiago's commercial operations, I integrated these macroeconomic factors into our Sales Report framework to forecast demand accurately. For instance, we adjusted revenue projections by 5.7% after analyzing Central Bank interest rate hikes' impact on enterprise purchasing power.</w:t>
      </w:r>
    </w:p>
    <w:bookmarkEnd w:id="21"/>
    <w:bookmarkStart w:id="22" w:name="X730e07312570ed0bbe6224a3731e4e5be8b0548"/>
    <w:p>
      <w:pPr>
        <w:pStyle w:val="Heading3"/>
      </w:pPr>
      <w:r>
        <w:t xml:space="preserve">III. Core Metrics: Sales Report Analysis Framework</w:t>
      </w:r>
    </w:p>
    <w:p>
      <w:pPr>
        <w:pStyle w:val="FirstParagraph"/>
      </w:pPr>
      <w:r>
        <w:t xml:space="preserve">This Sales Report adopted a three-tiered analytical approach tailored to Santiago's market nuances:</w:t>
      </w:r>
    </w:p>
    <w:p>
      <w:pPr>
        <w:numPr>
          <w:ilvl w:val="0"/>
          <w:numId w:val="1001"/>
        </w:numPr>
        <w:pStyle w:val="Compact"/>
      </w:pPr>
      <w:r>
        <w:rPr>
          <w:bCs/>
          <w:b/>
        </w:rPr>
        <w:t xml:space="preserve">Product Portfolio Performance:</w:t>
      </w:r>
      <w:r>
        <w:t xml:space="preserve"> </w:t>
      </w:r>
      <w:r>
        <w:t xml:space="preserve">Technology solutions (42% of revenue) grew 21% YoY, driven by cloud migration demand. In contrast, legacy hardware sales declined 8%, necessitating a strategic pivot in our Santiago sales team's focus.</w:t>
      </w:r>
    </w:p>
    <w:p>
      <w:pPr>
        <w:numPr>
          <w:ilvl w:val="0"/>
          <w:numId w:val="1001"/>
        </w:numPr>
        <w:pStyle w:val="Compact"/>
      </w:pPr>
      <w:r>
        <w:rPr>
          <w:bCs/>
          <w:b/>
        </w:rPr>
        <w:t xml:space="preserve">Regional Sales Distribution:</w:t>
      </w:r>
      <w:r>
        <w:t xml:space="preserve"> </w:t>
      </w:r>
      <w:r>
        <w:t xml:space="preserve">Santiago accounted for 68% of Chilean revenue (vs. 63% in Q2), with the Maipo Valley segment showing exceptional growth (+29%) due to new tourism infrastructure investments.</w:t>
      </w:r>
    </w:p>
    <w:p>
      <w:pPr>
        <w:numPr>
          <w:ilvl w:val="0"/>
          <w:numId w:val="1001"/>
        </w:numPr>
        <w:pStyle w:val="Compact"/>
      </w:pPr>
      <w:r>
        <w:rPr>
          <w:bCs/>
          <w:b/>
        </w:rPr>
        <w:t xml:space="preserve">Customer Lifetime Value (CLV):</w:t>
      </w:r>
      <w:r>
        <w:t xml:space="preserve"> </w:t>
      </w:r>
      <w:r>
        <w:t xml:space="preserve">Enterprise clients contributed 74% of profit, with CLV increasing by 18% after implementing our Financial Analyst-recommended upsell strategy for premium analytics packages.</w:t>
      </w:r>
    </w:p>
    <w:p>
      <w:pPr>
        <w:pStyle w:val="FirstParagraph"/>
      </w:pPr>
      <w:r>
        <w:t xml:space="preserve">The Sales Report methodology incorporated Chile-specific KPIs like "Local Market Penetration Rate" (measuring share within Santiago's top 50 enterprises), which revealed our brand visibility increased by 15% compared to Q2. This metric, developed through close collaboration with Santiago sales managers, became a cornerstone of our quarterly reporting.</w:t>
      </w:r>
    </w:p>
    <w:bookmarkEnd w:id="22"/>
    <w:bookmarkStart w:id="23" w:name="Xcf4665bf2859a463091be3c247dfe14ae21dbea"/>
    <w:p>
      <w:pPr>
        <w:pStyle w:val="Heading3"/>
      </w:pPr>
      <w:r>
        <w:t xml:space="preserve">IV. Key Insights &amp; Strategic Recommendations</w:t>
      </w:r>
    </w:p>
    <w:p>
      <w:pPr>
        <w:pStyle w:val="FirstParagraph"/>
      </w:pPr>
      <w:r>
        <w:t xml:space="preserve">As the Financial Analyst for Chile Santiago operations, my Sales Report pinpointed three critical opportunities:</w:t>
      </w:r>
    </w:p>
    <w:p>
      <w:pPr>
        <w:numPr>
          <w:ilvl w:val="0"/>
          <w:numId w:val="1002"/>
        </w:numPr>
        <w:pStyle w:val="Compact"/>
      </w:pPr>
      <w:r>
        <w:rPr>
          <w:bCs/>
          <w:b/>
        </w:rPr>
        <w:t xml:space="preserve">Healthcare Sector Expansion:</w:t>
      </w:r>
      <w:r>
        <w:t xml:space="preserve"> </w:t>
      </w:r>
      <w:r>
        <w:t xml:space="preserve">Analysis of government healthcare funding data (Santiago's sector grew 12% YoY) led to targeted sales initiatives. Our Q3 report recommended allocating 30% more resources to medical device solutions, resulting in a $2.4M contract win with Clinica Las Condes.</w:t>
      </w:r>
    </w:p>
    <w:p>
      <w:pPr>
        <w:numPr>
          <w:ilvl w:val="0"/>
          <w:numId w:val="1002"/>
        </w:numPr>
        <w:pStyle w:val="Compact"/>
      </w:pPr>
      <w:r>
        <w:rPr>
          <w:bCs/>
          <w:b/>
        </w:rPr>
        <w:t xml:space="preserve">Cost Optimization in Logistics:</w:t>
      </w:r>
      <w:r>
        <w:t xml:space="preserve"> </w:t>
      </w:r>
      <w:r>
        <w:t xml:space="preserve">Santiago's port congestion (18% longer shipment times) inflated delivery costs by 27%. The Financial Analyst identified alternative inland routes, reducing logistics expenses by 19%—a direct impact quantified in the Sales Report for leadership review.</w:t>
      </w:r>
    </w:p>
    <w:p>
      <w:pPr>
        <w:numPr>
          <w:ilvl w:val="0"/>
          <w:numId w:val="1002"/>
        </w:numPr>
        <w:pStyle w:val="Compact"/>
      </w:pPr>
      <w:r>
        <w:rPr>
          <w:bCs/>
          <w:b/>
        </w:rPr>
        <w:t xml:space="preserve">Currency Risk Mitigation:</w:t>
      </w:r>
      <w:r>
        <w:t xml:space="preserve"> </w:t>
      </w:r>
      <w:r>
        <w:t xml:space="preserve">With CLP volatility, our Sales Report introduced real-time forex hedging scenarios. Implementing these strategies protected $850K in Q3 revenue from USD devaluation.</w:t>
      </w:r>
    </w:p>
    <w:bookmarkEnd w:id="23"/>
    <w:bookmarkStart w:id="24" w:name="v.-challenges-in-chile-santiago-context"/>
    <w:p>
      <w:pPr>
        <w:pStyle w:val="Heading3"/>
      </w:pPr>
      <w:r>
        <w:t xml:space="preserve">V. Challenges in Chile Santiago Context</w:t>
      </w:r>
    </w:p>
    <w:p>
      <w:pPr>
        <w:pStyle w:val="FirstParagraph"/>
      </w:pPr>
      <w:r>
        <w:t xml:space="preserve">Executing this Sales Report presented unique hurdles specific to Santiago's environment:</w:t>
      </w:r>
    </w:p>
    <w:p>
      <w:pPr>
        <w:numPr>
          <w:ilvl w:val="0"/>
          <w:numId w:val="1003"/>
        </w:numPr>
        <w:pStyle w:val="Compact"/>
      </w:pPr>
      <w:r>
        <w:rPr>
          <w:bCs/>
          <w:b/>
        </w:rPr>
        <w:t xml:space="preserve">Cultural Nuances:</w:t>
      </w:r>
      <w:r>
        <w:t xml:space="preserve"> </w:t>
      </w:r>
      <w:r>
        <w:t xml:space="preserve">Spanish business protocols required adapting standard financial templates—e.g., "cortesía" (relationship-building) time reduced sales cycle predictability. The Financial Analyst team incorporated qualitative sentiment analysis from customer interviews into our Sales Report.</w:t>
      </w:r>
    </w:p>
    <w:p>
      <w:pPr>
        <w:numPr>
          <w:ilvl w:val="0"/>
          <w:numId w:val="1003"/>
        </w:numPr>
        <w:pStyle w:val="Compact"/>
      </w:pPr>
      <w:r>
        <w:rPr>
          <w:bCs/>
          <w:b/>
        </w:rPr>
        <w:t xml:space="preserve">Data Fragmentation:</w:t>
      </w:r>
      <w:r>
        <w:t xml:space="preserve"> </w:t>
      </w:r>
      <w:r>
        <w:t xml:space="preserve">Legacy systems in Chilean enterprises created inconsistent sales data. I led the integration of SAP with Santiago's local CRM (Salesforce), enabling 98% data accuracy in our Q3 report—critical for investor confidence.</w:t>
      </w:r>
    </w:p>
    <w:p>
      <w:pPr>
        <w:numPr>
          <w:ilvl w:val="0"/>
          <w:numId w:val="1003"/>
        </w:numPr>
        <w:pStyle w:val="Compact"/>
      </w:pPr>
      <w:r>
        <w:rPr>
          <w:bCs/>
          <w:b/>
        </w:rPr>
        <w:t xml:space="preserve">Regulatory Compliance:</w:t>
      </w:r>
      <w:r>
        <w:t xml:space="preserve"> </w:t>
      </w:r>
      <w:r>
        <w:t xml:space="preserve">Chile's new tax law (Law 21,256) required restructuring sales margin calculations. Our Financial Analyst team redesigned the Sales Report template to comply with local GAAP within 72 hours of legislation passage.</w:t>
      </w:r>
    </w:p>
    <w:bookmarkEnd w:id="24"/>
    <w:bookmarkStart w:id="25" w:name="vi.-future-outlook-financial-projections"/>
    <w:p>
      <w:pPr>
        <w:pStyle w:val="Heading3"/>
      </w:pPr>
      <w:r>
        <w:t xml:space="preserve">VI. Future Outlook &amp; Financial Projections</w:t>
      </w:r>
    </w:p>
    <w:p>
      <w:pPr>
        <w:pStyle w:val="FirstParagraph"/>
      </w:pPr>
      <w:r>
        <w:t xml:space="preserve">The Chile Santiago market remains a strategic priority, with Q4 projected revenue growth of 11-15% driven by holiday season demand and our healthcare expansion. The Sales Report forecasts a 2024 EBITDA margin improvement to 38% through continued focus on high-margin technology solutions (already at 32% in Santiago). Critical success factors include:</w:t>
      </w:r>
    </w:p>
    <w:p>
      <w:pPr>
        <w:numPr>
          <w:ilvl w:val="0"/>
          <w:numId w:val="1004"/>
        </w:numPr>
        <w:pStyle w:val="Compact"/>
      </w:pPr>
      <w:r>
        <w:t xml:space="preserve">Deepening partnerships with Santiago's university ecosystem for talent acquisition</w:t>
      </w:r>
    </w:p>
    <w:p>
      <w:pPr>
        <w:numPr>
          <w:ilvl w:val="0"/>
          <w:numId w:val="1004"/>
        </w:numPr>
        <w:pStyle w:val="Compact"/>
      </w:pPr>
      <w:r>
        <w:t xml:space="preserve">Implementing AI-driven sales forecasting tools (validated by our Financial Analyst pilot)</w:t>
      </w:r>
    </w:p>
    <w:p>
      <w:pPr>
        <w:numPr>
          <w:ilvl w:val="0"/>
          <w:numId w:val="1004"/>
        </w:numPr>
        <w:pStyle w:val="Compact"/>
      </w:pPr>
      <w:r>
        <w:t xml:space="preserve">Maintaining agility to respond to Chile's evolving regulatory environment</w:t>
      </w:r>
    </w:p>
    <w:bookmarkEnd w:id="25"/>
    <w:bookmarkStart w:id="26" w:name="X03f4056a60560564d9fbf71040f76d0b8aa1098"/>
    <w:p>
      <w:pPr>
        <w:pStyle w:val="Heading3"/>
      </w:pPr>
      <w:r>
        <w:t xml:space="preserve">VII. Conclusion: The Strategic Imperative of the Financial Analyst Role</w:t>
      </w:r>
    </w:p>
    <w:p>
      <w:pPr>
        <w:pStyle w:val="FirstParagraph"/>
      </w:pPr>
      <w:r>
        <w:t xml:space="preserve">This Q3 Sales Report underscores why the Financial Analyst position in Chile Santiago is not merely analytical but transformative. In a market where 65% of enterprises cite "data-driven decision-making" as their top growth enabler (Chilean Chamber of Commerce, 2023), our Financial Analyst team delivered precisely that—turning complex market dynamics into clear sales strategies. The report directly influenced our Q4 sales quota allocation, enabling a $3.1M revenue opportunity capture in the sustainable energy sector alone. As Santiago evolves as Latin America's leading fintech hub (with 40+ new startups launched in 2023), the Financial Analyst role will become increasingly pivotal for maintaining competitive advantage.</w:t>
      </w:r>
    </w:p>
    <w:p>
      <w:pPr>
        <w:pStyle w:val="BodyText"/>
      </w:pPr>
      <w:r>
        <w:t xml:space="preserve">For Chile Santiago, success hinges on continuous refinement of our Sales Report framework—ensuring it remains embedded in local business culture while aligning with global standards. The Financial Analyst must balance hyperlocal market intelligence (e.g., understanding how "Fiesta Nacional" impacts quarterly spending patterns) with corporate financial rigor. This dual expertise, demonstrated through our Q3 report, positions us to not just navigate Santiago's complex economy—but to lead within it.</w:t>
      </w:r>
    </w:p>
    <w:p>
      <w:pPr>
        <w:pStyle w:val="BodyText"/>
      </w:pPr>
      <w:r>
        <w:rPr>
          <w:bCs/>
          <w:b/>
        </w:rPr>
        <w:t xml:space="preserve">Attachments:</w:t>
      </w:r>
      <w:r>
        <w:t xml:space="preserve"> </w:t>
      </w:r>
      <w:r>
        <w:t xml:space="preserve">Santiago Market Sentiment Analysis (Appendix A), FX Risk Modeling Scenarios (Appendix B), CLV by Customer Segment (Appendix 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Performance &amp; Financial Analysis Report</dc:title>
  <dc:creator/>
  <dc:language>en</dc:language>
  <cp:keywords/>
  <dcterms:created xsi:type="dcterms:W3CDTF">2026-07-23T17:17:56Z</dcterms:created>
  <dcterms:modified xsi:type="dcterms:W3CDTF">2026-07-23T17:17:56Z</dcterms:modified>
</cp:coreProperties>
</file>

<file path=docProps/custom.xml><?xml version="1.0" encoding="utf-8"?>
<Properties xmlns="http://schemas.openxmlformats.org/officeDocument/2006/custom-properties" xmlns:vt="http://schemas.openxmlformats.org/officeDocument/2006/docPropsVTypes"/>
</file>